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z w:val="28"/>
                <w:vertAlign w:val="baseline"/>
                <w:lang w:eastAsia="zh-CN"/>
              </w:rPr>
            </w:pPr>
            <w:bookmarkStart w:id="0" w:name="_Hlk496949272"/>
            <w:bookmarkEnd w:id="0"/>
            <w:r>
              <w:rPr>
                <w:rFonts w:hint="eastAsia" w:ascii="仿宋_GB2312" w:eastAsia="仿宋_GB2312"/>
                <w:b/>
                <w:color w:val="000000"/>
                <w:sz w:val="28"/>
              </w:rPr>
              <w:t>建设单位法人代表</w:t>
            </w:r>
            <w:r>
              <w:rPr>
                <w:rFonts w:hint="eastAsia" w:ascii="仿宋_GB2312" w:eastAsia="仿宋_GB2312"/>
                <w:b/>
                <w:color w:val="000000"/>
                <w:sz w:val="28"/>
                <w:lang w:eastAsia="zh-CN"/>
              </w:rPr>
              <w:t>：</w:t>
            </w:r>
          </w:p>
        </w:tc>
        <w:tc>
          <w:tcPr>
            <w:tcW w:w="5894" w:type="dxa"/>
            <w:tcBorders>
              <w:tl2br w:val="nil"/>
              <w:tr2bl w:val="nil"/>
            </w:tcBorders>
          </w:tcPr>
          <w:p>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z w:val="28"/>
                <w:vertAlign w:val="baseline"/>
                <w:lang w:eastAsia="zh-CN"/>
              </w:rPr>
            </w:pPr>
            <w:r>
              <w:rPr>
                <w:rFonts w:hint="eastAsia" w:ascii="仿宋_GB2312" w:eastAsia="仿宋_GB2312"/>
                <w:b/>
                <w:color w:val="000000"/>
                <w:sz w:val="28"/>
              </w:rPr>
              <w:t>编制单位法人代表</w:t>
            </w:r>
            <w:r>
              <w:rPr>
                <w:rFonts w:hint="eastAsia" w:ascii="仿宋_GB2312" w:eastAsia="仿宋_GB2312"/>
                <w:b/>
                <w:color w:val="000000"/>
                <w:sz w:val="28"/>
                <w:lang w:eastAsia="zh-CN"/>
              </w:rPr>
              <w:t>：</w:t>
            </w:r>
          </w:p>
        </w:tc>
        <w:tc>
          <w:tcPr>
            <w:tcW w:w="5894" w:type="dxa"/>
            <w:tcBorders>
              <w:tl2br w:val="nil"/>
              <w:tr2bl w:val="nil"/>
            </w:tcBorders>
          </w:tcPr>
          <w:p>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项目负责人</w:t>
            </w:r>
            <w:r>
              <w:rPr>
                <w:rFonts w:hint="eastAsia" w:ascii="仿宋_GB2312" w:eastAsia="仿宋_GB2312"/>
                <w:b/>
                <w:color w:val="000000"/>
                <w:spacing w:val="10"/>
                <w:w w:val="79"/>
                <w:sz w:val="28"/>
                <w:lang w:eastAsia="zh-CN"/>
              </w:rPr>
              <w:t>：</w:t>
            </w:r>
          </w:p>
        </w:tc>
        <w:tc>
          <w:tcPr>
            <w:tcW w:w="5894" w:type="dxa"/>
            <w:tcBorders>
              <w:tl2br w:val="nil"/>
              <w:tr2bl w:val="nil"/>
            </w:tcBorders>
          </w:tcPr>
          <w:p>
            <w:pPr>
              <w:jc w:val="left"/>
              <w:rPr>
                <w:rFonts w:hint="eastAsia" w:ascii="仿宋_GB2312" w:eastAsia="仿宋_GB2312"/>
                <w:b/>
                <w:color w:val="000000"/>
                <w:sz w:val="28"/>
                <w:vertAlign w:val="baseline"/>
                <w:lang w:eastAsia="zh-CN"/>
              </w:rPr>
            </w:pPr>
            <w:r>
              <w:rPr>
                <w:rFonts w:hint="eastAsia" w:ascii="仿宋_GB2312" w:eastAsia="仿宋_GB2312"/>
                <w:b/>
                <w:color w:val="000000"/>
                <w:sz w:val="28"/>
                <w:vertAlign w:val="baseline"/>
                <w:lang w:eastAsia="zh-CN"/>
              </w:rPr>
              <w:t>李安鸿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报告编写人</w:t>
            </w:r>
            <w:r>
              <w:rPr>
                <w:rFonts w:hint="eastAsia" w:ascii="仿宋_GB2312" w:eastAsia="仿宋_GB2312"/>
                <w:b/>
                <w:color w:val="000000"/>
                <w:spacing w:val="10"/>
                <w:w w:val="79"/>
                <w:sz w:val="28"/>
                <w:lang w:eastAsia="zh-CN"/>
              </w:rPr>
              <w:t>：</w:t>
            </w:r>
          </w:p>
        </w:tc>
        <w:tc>
          <w:tcPr>
            <w:tcW w:w="5894" w:type="dxa"/>
            <w:tcBorders>
              <w:tl2br w:val="nil"/>
              <w:tr2bl w:val="nil"/>
            </w:tcBorders>
          </w:tcPr>
          <w:p>
            <w:pPr>
              <w:rPr>
                <w:rFonts w:hint="eastAsia" w:ascii="仿宋_GB2312" w:eastAsia="仿宋_GB2312"/>
                <w:b/>
                <w:color w:val="000000"/>
                <w:sz w:val="28"/>
                <w:vertAlign w:val="baseline"/>
                <w:lang w:eastAsia="zh-CN"/>
              </w:rPr>
            </w:pPr>
            <w:r>
              <w:rPr>
                <w:rFonts w:hint="eastAsia" w:ascii="仿宋_GB2312" w:eastAsia="仿宋_GB2312"/>
                <w:b/>
                <w:color w:val="000000"/>
                <w:sz w:val="28"/>
                <w:vertAlign w:val="baseline"/>
                <w:lang w:eastAsia="zh-CN"/>
              </w:rPr>
              <w:t>李安鸿</w:t>
            </w:r>
          </w:p>
        </w:tc>
      </w:tr>
    </w:tbl>
    <w:p>
      <w:pPr>
        <w:ind w:left="0" w:leftChars="0" w:firstLine="0" w:firstLineChars="0"/>
        <w:rPr>
          <w:rFonts w:hint="eastAsia" w:ascii="仿宋_GB2312" w:eastAsia="仿宋_GB2312"/>
          <w:b/>
          <w:color w:val="000000"/>
          <w:sz w:val="28"/>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ind w:left="0" w:leftChars="0" w:firstLine="0" w:firstLineChars="0"/>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tbl>
      <w:tblPr>
        <w:tblStyle w:val="17"/>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5"/>
        <w:gridCol w:w="3094"/>
        <w:gridCol w:w="1648"/>
        <w:gridCol w:w="30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4" w:hRule="atLeast"/>
          <w:jc w:val="center"/>
        </w:trPr>
        <w:tc>
          <w:tcPr>
            <w:tcW w:w="1615"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建设</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新乡市鸿鹄电子科技有限公司</w:t>
            </w:r>
          </w:p>
        </w:tc>
        <w:tc>
          <w:tcPr>
            <w:tcW w:w="164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建设</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新乡市鸿鹄电子科技有限公司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eastAsia="仿宋" w:cs="Times New Roman"/>
                <w:color w:val="000000" w:themeColor="text1"/>
                <w:sz w:val="28"/>
                <w:szCs w:val="28"/>
                <w:lang w:val="en-US" w:eastAsia="zh-CN"/>
                <w14:textFill>
                  <w14:solidFill>
                    <w14:schemeClr w14:val="tx1"/>
                  </w14:solidFill>
                </w14:textFill>
              </w:rPr>
              <w:t>13937382998</w:t>
            </w:r>
          </w:p>
        </w:tc>
        <w:tc>
          <w:tcPr>
            <w:tcW w:w="16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13937382998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453</w:t>
            </w:r>
            <w:r>
              <w:rPr>
                <w:rFonts w:hint="eastAsia" w:eastAsia="仿宋" w:cs="Times New Roman"/>
                <w:color w:val="000000" w:themeColor="text1"/>
                <w:sz w:val="28"/>
                <w:szCs w:val="28"/>
                <w:lang w:val="en-US" w:eastAsia="zh-CN"/>
                <w14:textFill>
                  <w14:solidFill>
                    <w14:schemeClr w14:val="tx1"/>
                  </w14:solidFill>
                </w14:textFill>
              </w:rPr>
              <w:t>0</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00</w:t>
            </w:r>
          </w:p>
        </w:tc>
        <w:tc>
          <w:tcPr>
            <w:tcW w:w="1648"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453</w:t>
            </w:r>
            <w:r>
              <w:rPr>
                <w:rFonts w:hint="eastAsia" w:eastAsia="仿宋" w:cs="Times New Roman"/>
                <w:color w:val="000000" w:themeColor="text1"/>
                <w:sz w:val="28"/>
                <w:szCs w:val="28"/>
                <w:lang w:val="en-US" w:eastAsia="zh-CN"/>
                <w14:textFill>
                  <w14:solidFill>
                    <w14:schemeClr w14:val="tx1"/>
                  </w14:solidFill>
                </w14:textFill>
              </w:rPr>
              <w:t>0</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河南省新乡市凤泉区新乡市新能源电池专业园区</w:t>
            </w:r>
          </w:p>
        </w:tc>
        <w:tc>
          <w:tcPr>
            <w:tcW w:w="1648" w:type="dxa"/>
            <w:vAlign w:val="top"/>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8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河南省新乡市凤泉区新乡市新能源电池专业园区</w:t>
            </w:r>
          </w:p>
        </w:tc>
      </w:tr>
    </w:tbl>
    <w:p>
      <w:pPr>
        <w:pStyle w:val="2"/>
        <w:bidi w:val="0"/>
        <w:rPr>
          <w:rFonts w:hint="default"/>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kern w:val="2"/>
          <w:sz w:val="21"/>
          <w:szCs w:val="22"/>
          <w:vertAlign w:val="baseline"/>
          <w:lang w:val="en-US" w:eastAsia="zh-CN" w:bidi="ar-SA"/>
        </w:rPr>
        <w:id w:val="147457912"/>
        <w15:color w:val="DBDBDB"/>
        <w:docPartObj>
          <w:docPartGallery w:val="Table of Contents"/>
          <w:docPartUnique/>
        </w:docPartObj>
      </w:sdtPr>
      <w:sdtEndPr>
        <w:rPr>
          <w:rFonts w:hint="default" w:ascii="宋体" w:hAnsi="宋体" w:eastAsia="宋体" w:cstheme="minorBidi"/>
          <w:kern w:val="2"/>
          <w:sz w:val="21"/>
          <w:szCs w:val="22"/>
          <w:vertAlign w:val="baseline"/>
          <w:lang w:val="en-US" w:eastAsia="zh-CN" w:bidi="ar-SA"/>
        </w:rPr>
      </w:sdtEndPr>
      <w:sdtContent>
        <w:p>
          <w:pPr>
            <w:spacing w:before="0" w:beforeLines="0" w:after="0" w:afterLines="0" w:line="240" w:lineRule="auto"/>
            <w:ind w:left="0" w:leftChars="0" w:right="0" w:rightChars="0" w:firstLine="0" w:firstLineChars="0"/>
            <w:jc w:val="center"/>
            <w:rPr>
              <w:sz w:val="40"/>
              <w:szCs w:val="32"/>
            </w:rPr>
          </w:pPr>
          <w:r>
            <w:rPr>
              <w:rFonts w:ascii="宋体" w:hAnsi="宋体" w:eastAsia="宋体"/>
              <w:sz w:val="28"/>
              <w:szCs w:val="32"/>
            </w:rPr>
            <w:t>目录</w:t>
          </w:r>
        </w:p>
        <w:p>
          <w:pPr>
            <w:pStyle w:val="14"/>
            <w:tabs>
              <w:tab w:val="right" w:leader="dot" w:pos="8306"/>
            </w:tabs>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TOC \o "1-3" \h \u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Cs w:val="24"/>
              <w:lang w:val="en-US" w:eastAsia="zh-CN"/>
            </w:rPr>
            <w:fldChar w:fldCharType="begin"/>
          </w:r>
          <w:r>
            <w:rPr>
              <w:rFonts w:hint="default" w:ascii="Times New Roman" w:hAnsi="Times New Roman" w:cs="Times New Roman"/>
              <w:szCs w:val="24"/>
              <w:lang w:val="en-US" w:eastAsia="zh-CN"/>
            </w:rPr>
            <w:instrText xml:space="preserve"> HYPERLINK \l _Toc15020 </w:instrText>
          </w:r>
          <w:r>
            <w:rPr>
              <w:rFonts w:hint="default" w:ascii="Times New Roman" w:hAnsi="Times New Roman" w:cs="Times New Roman"/>
              <w:szCs w:val="24"/>
              <w:lang w:val="en-US" w:eastAsia="zh-CN"/>
            </w:rPr>
            <w:fldChar w:fldCharType="separate"/>
          </w:r>
          <w:r>
            <w:rPr>
              <w:rFonts w:hint="default"/>
            </w:rPr>
            <w:t xml:space="preserve">1 </w:t>
          </w:r>
          <w:r>
            <w:rPr>
              <w:rFonts w:hint="default"/>
              <w:lang w:eastAsia="zh-CN"/>
            </w:rPr>
            <w:t>项目</w:t>
          </w:r>
          <w:r>
            <w:rPr>
              <w:rFonts w:hint="default"/>
              <w:lang w:val="en-US" w:eastAsia="zh-CN"/>
            </w:rPr>
            <w:t>概况</w:t>
          </w:r>
          <w:r>
            <w:tab/>
          </w:r>
          <w:r>
            <w:fldChar w:fldCharType="begin"/>
          </w:r>
          <w:r>
            <w:instrText xml:space="preserve"> PAGEREF _Toc15020 \h </w:instrText>
          </w:r>
          <w:r>
            <w:fldChar w:fldCharType="separate"/>
          </w:r>
          <w:r>
            <w:t>1</w:t>
          </w:r>
          <w:r>
            <w:fldChar w:fldCharType="end"/>
          </w:r>
          <w:r>
            <w:rPr>
              <w:rFonts w:hint="default" w:ascii="Times New Roman" w:hAnsi="Times New Roman" w:cs="Times New Roman"/>
              <w:szCs w:val="24"/>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_Toc28672 </w:instrText>
          </w:r>
          <w:r>
            <w:rPr>
              <w:rFonts w:hint="default" w:ascii="Times New Roman" w:hAnsi="Times New Roman" w:cs="Times New Roman"/>
              <w:szCs w:val="32"/>
              <w:lang w:val="en-US" w:eastAsia="zh-CN"/>
            </w:rPr>
            <w:fldChar w:fldCharType="separate"/>
          </w:r>
          <w:r>
            <w:rPr>
              <w:rFonts w:hint="default"/>
              <w:lang w:val="en-US" w:eastAsia="zh-CN"/>
            </w:rPr>
            <w:t>2 验收依据</w:t>
          </w:r>
          <w:r>
            <w:tab/>
          </w:r>
          <w:r>
            <w:fldChar w:fldCharType="begin"/>
          </w:r>
          <w:r>
            <w:instrText xml:space="preserve"> PAGEREF _Toc28672 \h </w:instrText>
          </w:r>
          <w:r>
            <w:fldChar w:fldCharType="separate"/>
          </w:r>
          <w:r>
            <w:t>1</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_Toc3645 </w:instrText>
          </w:r>
          <w:r>
            <w:rPr>
              <w:rFonts w:hint="default" w:ascii="Times New Roman" w:hAnsi="Times New Roman" w:cs="Times New Roman"/>
              <w:szCs w:val="32"/>
              <w:lang w:val="en-US" w:eastAsia="zh-CN"/>
            </w:rPr>
            <w:fldChar w:fldCharType="separate"/>
          </w:r>
          <w:r>
            <w:rPr>
              <w:rFonts w:hint="default"/>
            </w:rPr>
            <w:t xml:space="preserve">2.1 </w:t>
          </w:r>
          <w:r>
            <w:rPr>
              <w:rFonts w:hint="default"/>
              <w:lang w:val="en-US" w:eastAsia="zh-CN"/>
            </w:rPr>
            <w:t>建</w:t>
          </w:r>
          <w:r>
            <w:rPr>
              <w:rFonts w:hint="default"/>
            </w:rPr>
            <w:t>设项目环境保护相关</w:t>
          </w:r>
          <w:r>
            <w:rPr>
              <w:rFonts w:hint="eastAsia"/>
              <w:lang w:eastAsia="zh-CN"/>
            </w:rPr>
            <w:t>法律法规</w:t>
          </w:r>
          <w:r>
            <w:rPr>
              <w:rFonts w:hint="default"/>
            </w:rPr>
            <w:t>、规章和规范</w:t>
          </w:r>
          <w:r>
            <w:tab/>
          </w:r>
          <w:r>
            <w:fldChar w:fldCharType="begin"/>
          </w:r>
          <w:r>
            <w:instrText xml:space="preserve"> PAGEREF _Toc3645 \h </w:instrText>
          </w:r>
          <w:r>
            <w:fldChar w:fldCharType="separate"/>
          </w:r>
          <w:r>
            <w:t>1</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_Toc26122 </w:instrText>
          </w:r>
          <w:r>
            <w:rPr>
              <w:rFonts w:hint="default" w:ascii="Times New Roman" w:hAnsi="Times New Roman" w:cs="Times New Roman"/>
              <w:szCs w:val="32"/>
              <w:lang w:val="en-US" w:eastAsia="zh-CN"/>
            </w:rPr>
            <w:fldChar w:fldCharType="separate"/>
          </w:r>
          <w:r>
            <w:rPr>
              <w:rFonts w:hint="default"/>
              <w:lang w:eastAsia="zh-CN"/>
            </w:rPr>
            <w:t xml:space="preserve">2.2 </w:t>
          </w:r>
          <w:r>
            <w:rPr>
              <w:rFonts w:hint="default"/>
              <w:lang w:val="en-US" w:eastAsia="zh-CN"/>
            </w:rPr>
            <w:t>建设项目竣工环境保护验收技术规范</w:t>
          </w:r>
          <w:r>
            <w:tab/>
          </w:r>
          <w:r>
            <w:fldChar w:fldCharType="begin"/>
          </w:r>
          <w:r>
            <w:instrText xml:space="preserve"> PAGEREF _Toc26122 \h </w:instrText>
          </w:r>
          <w:r>
            <w:fldChar w:fldCharType="separate"/>
          </w:r>
          <w:r>
            <w:t>1</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_Toc16264 </w:instrText>
          </w:r>
          <w:r>
            <w:rPr>
              <w:rFonts w:hint="default" w:ascii="Times New Roman" w:hAnsi="Times New Roman" w:cs="Times New Roman"/>
              <w:szCs w:val="32"/>
              <w:lang w:val="en-US" w:eastAsia="zh-CN"/>
            </w:rPr>
            <w:fldChar w:fldCharType="separate"/>
          </w:r>
          <w:r>
            <w:rPr>
              <w:rFonts w:hint="default"/>
              <w:lang w:val="en-US" w:eastAsia="zh-CN"/>
            </w:rPr>
            <w:t>2.3 建设项目环境影响报告书</w:t>
          </w:r>
          <w:r>
            <w:rPr>
              <w:rFonts w:hint="eastAsia"/>
              <w:lang w:val="en-US" w:eastAsia="zh-CN"/>
            </w:rPr>
            <w:t>（表）</w:t>
          </w:r>
          <w:r>
            <w:rPr>
              <w:rFonts w:hint="default"/>
              <w:lang w:val="en-US" w:eastAsia="zh-CN"/>
            </w:rPr>
            <w:t>及审批部门审批决定</w:t>
          </w:r>
          <w:r>
            <w:tab/>
          </w:r>
          <w:r>
            <w:fldChar w:fldCharType="begin"/>
          </w:r>
          <w:r>
            <w:instrText xml:space="preserve"> PAGEREF _Toc16264 \h </w:instrText>
          </w:r>
          <w:r>
            <w:fldChar w:fldCharType="separate"/>
          </w:r>
          <w:r>
            <w:t>2</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_Toc26380 </w:instrText>
          </w:r>
          <w:r>
            <w:rPr>
              <w:rFonts w:hint="default" w:ascii="Times New Roman" w:hAnsi="Times New Roman" w:cs="Times New Roman"/>
              <w:szCs w:val="32"/>
              <w:lang w:val="en-US" w:eastAsia="zh-CN"/>
            </w:rPr>
            <w:fldChar w:fldCharType="separate"/>
          </w:r>
          <w:r>
            <w:rPr>
              <w:rFonts w:hint="default"/>
              <w:lang w:eastAsia="zh-CN"/>
            </w:rPr>
            <w:t xml:space="preserve">2.4 </w:t>
          </w:r>
          <w:r>
            <w:rPr>
              <w:rFonts w:hint="eastAsia"/>
              <w:lang w:val="en-US" w:eastAsia="zh-CN"/>
            </w:rPr>
            <w:t>其他</w:t>
          </w:r>
          <w:r>
            <w:rPr>
              <w:rFonts w:hint="eastAsia"/>
              <w:lang w:eastAsia="zh-CN"/>
            </w:rPr>
            <w:t>相关文件</w:t>
          </w:r>
          <w:r>
            <w:tab/>
          </w:r>
          <w:r>
            <w:fldChar w:fldCharType="begin"/>
          </w:r>
          <w:r>
            <w:instrText xml:space="preserve"> PAGEREF _Toc26380 \h </w:instrText>
          </w:r>
          <w:r>
            <w:fldChar w:fldCharType="separate"/>
          </w:r>
          <w:r>
            <w:t>2</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_Toc4213 </w:instrText>
          </w:r>
          <w:r>
            <w:rPr>
              <w:rFonts w:hint="default" w:ascii="Times New Roman" w:hAnsi="Times New Roman" w:cs="Times New Roman"/>
              <w:szCs w:val="32"/>
              <w:lang w:val="en-US" w:eastAsia="zh-CN"/>
            </w:rPr>
            <w:fldChar w:fldCharType="separate"/>
          </w:r>
          <w:r>
            <w:rPr>
              <w:rFonts w:hint="default"/>
            </w:rPr>
            <w:t xml:space="preserve">3 </w:t>
          </w:r>
          <w:r>
            <w:rPr>
              <w:rFonts w:hint="eastAsia"/>
              <w:lang w:eastAsia="zh-CN"/>
            </w:rPr>
            <w:t>项目</w:t>
          </w:r>
          <w:r>
            <w:rPr>
              <w:rFonts w:hint="default"/>
              <w:lang w:eastAsia="zh-CN"/>
            </w:rPr>
            <w:t>建设情况</w:t>
          </w:r>
          <w:r>
            <w:tab/>
          </w:r>
          <w:r>
            <w:fldChar w:fldCharType="begin"/>
          </w:r>
          <w:r>
            <w:instrText xml:space="preserve"> PAGEREF _Toc4213 \h </w:instrText>
          </w:r>
          <w:r>
            <w:fldChar w:fldCharType="separate"/>
          </w:r>
          <w:r>
            <w:t>2</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_Toc16522 </w:instrText>
          </w:r>
          <w:r>
            <w:rPr>
              <w:rFonts w:hint="default" w:ascii="Times New Roman" w:hAnsi="Times New Roman" w:cs="Times New Roman"/>
              <w:szCs w:val="32"/>
              <w:lang w:val="en-US" w:eastAsia="zh-CN"/>
            </w:rPr>
            <w:fldChar w:fldCharType="separate"/>
          </w:r>
          <w:r>
            <w:rPr>
              <w:rFonts w:hint="default"/>
              <w:lang w:val="en-US" w:eastAsia="zh-CN"/>
            </w:rPr>
            <w:t>3.1 地理位置及平面布置</w:t>
          </w:r>
          <w:r>
            <w:tab/>
          </w:r>
          <w:r>
            <w:fldChar w:fldCharType="begin"/>
          </w:r>
          <w:r>
            <w:instrText xml:space="preserve"> PAGEREF _Toc16522 \h </w:instrText>
          </w:r>
          <w:r>
            <w:fldChar w:fldCharType="separate"/>
          </w:r>
          <w:r>
            <w:t>2</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_Toc18124 </w:instrText>
          </w:r>
          <w:r>
            <w:rPr>
              <w:rFonts w:hint="default" w:ascii="Times New Roman" w:hAnsi="Times New Roman" w:cs="Times New Roman"/>
              <w:szCs w:val="32"/>
              <w:lang w:val="en-US" w:eastAsia="zh-CN"/>
            </w:rPr>
            <w:fldChar w:fldCharType="separate"/>
          </w:r>
          <w:r>
            <w:rPr>
              <w:rFonts w:hint="default"/>
            </w:rPr>
            <w:t>3.2 建设内容</w:t>
          </w:r>
          <w:r>
            <w:tab/>
          </w:r>
          <w:r>
            <w:fldChar w:fldCharType="begin"/>
          </w:r>
          <w:r>
            <w:instrText xml:space="preserve"> PAGEREF _Toc18124 \h </w:instrText>
          </w:r>
          <w:r>
            <w:fldChar w:fldCharType="separate"/>
          </w:r>
          <w:r>
            <w:t>3</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_Toc24118 </w:instrText>
          </w:r>
          <w:r>
            <w:rPr>
              <w:rFonts w:hint="default" w:ascii="Times New Roman" w:hAnsi="Times New Roman" w:cs="Times New Roman"/>
              <w:szCs w:val="32"/>
              <w:lang w:val="en-US" w:eastAsia="zh-CN"/>
            </w:rPr>
            <w:fldChar w:fldCharType="separate"/>
          </w:r>
          <w:r>
            <w:rPr>
              <w:rFonts w:hint="default"/>
              <w:lang w:val="en-US" w:eastAsia="zh-CN"/>
            </w:rPr>
            <w:t>3.3 主要原辅材料</w:t>
          </w:r>
          <w:r>
            <w:tab/>
          </w:r>
          <w:r>
            <w:fldChar w:fldCharType="begin"/>
          </w:r>
          <w:r>
            <w:instrText xml:space="preserve"> PAGEREF _Toc24118 \h </w:instrText>
          </w:r>
          <w:r>
            <w:fldChar w:fldCharType="separate"/>
          </w:r>
          <w:r>
            <w:t>4</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_Toc4182 </w:instrText>
          </w:r>
          <w:r>
            <w:rPr>
              <w:rFonts w:hint="default" w:ascii="Times New Roman" w:hAnsi="Times New Roman" w:cs="Times New Roman"/>
              <w:szCs w:val="32"/>
              <w:lang w:val="en-US" w:eastAsia="zh-CN"/>
            </w:rPr>
            <w:fldChar w:fldCharType="separate"/>
          </w:r>
          <w:r>
            <w:rPr>
              <w:rFonts w:hint="default"/>
            </w:rPr>
            <w:t>3.4 生产设备</w:t>
          </w:r>
          <w:r>
            <w:tab/>
          </w:r>
          <w:r>
            <w:fldChar w:fldCharType="begin"/>
          </w:r>
          <w:r>
            <w:instrText xml:space="preserve"> PAGEREF _Toc4182 \h </w:instrText>
          </w:r>
          <w:r>
            <w:fldChar w:fldCharType="separate"/>
          </w:r>
          <w:r>
            <w:t>4</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_Toc27661 </w:instrText>
          </w:r>
          <w:r>
            <w:rPr>
              <w:rFonts w:hint="default" w:ascii="Times New Roman" w:hAnsi="Times New Roman" w:cs="Times New Roman"/>
              <w:szCs w:val="32"/>
              <w:lang w:val="en-US" w:eastAsia="zh-CN"/>
            </w:rPr>
            <w:fldChar w:fldCharType="separate"/>
          </w:r>
          <w:r>
            <w:rPr>
              <w:rFonts w:hint="default"/>
              <w:lang w:val="en-US" w:eastAsia="zh-CN"/>
            </w:rPr>
            <w:t>3.5 水源及水平衡</w:t>
          </w:r>
          <w:r>
            <w:tab/>
          </w:r>
          <w:r>
            <w:fldChar w:fldCharType="begin"/>
          </w:r>
          <w:r>
            <w:instrText xml:space="preserve"> PAGEREF _Toc27661 \h </w:instrText>
          </w:r>
          <w:r>
            <w:fldChar w:fldCharType="separate"/>
          </w:r>
          <w:r>
            <w:t>4</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_Toc12558 </w:instrText>
          </w:r>
          <w:r>
            <w:rPr>
              <w:rFonts w:hint="default" w:ascii="Times New Roman" w:hAnsi="Times New Roman" w:cs="Times New Roman"/>
              <w:szCs w:val="32"/>
              <w:lang w:val="en-US" w:eastAsia="zh-CN"/>
            </w:rPr>
            <w:fldChar w:fldCharType="separate"/>
          </w:r>
          <w:r>
            <w:rPr>
              <w:rFonts w:hint="default"/>
              <w:lang w:eastAsia="zh-CN"/>
            </w:rPr>
            <w:t>3.5.1 供水</w:t>
          </w:r>
          <w:r>
            <w:tab/>
          </w:r>
          <w:r>
            <w:fldChar w:fldCharType="begin"/>
          </w:r>
          <w:r>
            <w:instrText xml:space="preserve"> PAGEREF _Toc12558 \h </w:instrText>
          </w:r>
          <w:r>
            <w:fldChar w:fldCharType="separate"/>
          </w:r>
          <w:r>
            <w:t>4</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_Toc3661 </w:instrText>
          </w:r>
          <w:r>
            <w:rPr>
              <w:rFonts w:hint="default" w:ascii="Times New Roman" w:hAnsi="Times New Roman" w:cs="Times New Roman"/>
              <w:szCs w:val="32"/>
              <w:lang w:val="en-US" w:eastAsia="zh-CN"/>
            </w:rPr>
            <w:fldChar w:fldCharType="separate"/>
          </w:r>
          <w:r>
            <w:rPr>
              <w:rFonts w:hint="default"/>
              <w:lang w:eastAsia="zh-CN"/>
            </w:rPr>
            <w:t xml:space="preserve">3.5.2 </w:t>
          </w:r>
          <w:r>
            <w:rPr>
              <w:rFonts w:hint="eastAsia"/>
              <w:lang w:eastAsia="zh-CN"/>
            </w:rPr>
            <w:t>排水</w:t>
          </w:r>
          <w:r>
            <w:tab/>
          </w:r>
          <w:r>
            <w:fldChar w:fldCharType="begin"/>
          </w:r>
          <w:r>
            <w:instrText xml:space="preserve"> PAGEREF _Toc3661 \h </w:instrText>
          </w:r>
          <w:r>
            <w:fldChar w:fldCharType="separate"/>
          </w:r>
          <w:r>
            <w:t>5</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_Toc5056 </w:instrText>
          </w:r>
          <w:r>
            <w:rPr>
              <w:rFonts w:hint="default" w:ascii="Times New Roman" w:hAnsi="Times New Roman" w:cs="Times New Roman"/>
              <w:szCs w:val="32"/>
              <w:lang w:val="en-US" w:eastAsia="zh-CN"/>
            </w:rPr>
            <w:fldChar w:fldCharType="separate"/>
          </w:r>
          <w:r>
            <w:rPr>
              <w:rFonts w:hint="default"/>
            </w:rPr>
            <w:t>3.6 生产工艺</w:t>
          </w:r>
          <w:r>
            <w:tab/>
          </w:r>
          <w:r>
            <w:fldChar w:fldCharType="begin"/>
          </w:r>
          <w:r>
            <w:instrText xml:space="preserve"> PAGEREF _Toc5056 \h </w:instrText>
          </w:r>
          <w:r>
            <w:fldChar w:fldCharType="separate"/>
          </w:r>
          <w:r>
            <w:t>5</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_Toc1539 </w:instrText>
          </w:r>
          <w:r>
            <w:rPr>
              <w:rFonts w:hint="default" w:ascii="Times New Roman" w:hAnsi="Times New Roman" w:cs="Times New Roman"/>
              <w:szCs w:val="32"/>
              <w:lang w:val="en-US" w:eastAsia="zh-CN"/>
            </w:rPr>
            <w:fldChar w:fldCharType="separate"/>
          </w:r>
          <w:r>
            <w:rPr>
              <w:rFonts w:hint="default"/>
              <w:lang w:val="en-US" w:eastAsia="zh-CN"/>
            </w:rPr>
            <w:t>3.7 产污环节及治理措施</w:t>
          </w:r>
          <w:r>
            <w:tab/>
          </w:r>
          <w:r>
            <w:fldChar w:fldCharType="begin"/>
          </w:r>
          <w:r>
            <w:instrText xml:space="preserve"> PAGEREF _Toc1539 \h </w:instrText>
          </w:r>
          <w:r>
            <w:fldChar w:fldCharType="separate"/>
          </w:r>
          <w:r>
            <w:t>6</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_Toc22737 </w:instrText>
          </w:r>
          <w:r>
            <w:rPr>
              <w:rFonts w:hint="default" w:ascii="Times New Roman" w:hAnsi="Times New Roman" w:cs="Times New Roman"/>
              <w:szCs w:val="32"/>
              <w:lang w:val="en-US" w:eastAsia="zh-CN"/>
            </w:rPr>
            <w:fldChar w:fldCharType="separate"/>
          </w:r>
          <w:r>
            <w:rPr>
              <w:rFonts w:hint="default"/>
            </w:rPr>
            <w:t>3.8 项目变动情况</w:t>
          </w:r>
          <w:r>
            <w:tab/>
          </w:r>
          <w:r>
            <w:fldChar w:fldCharType="begin"/>
          </w:r>
          <w:r>
            <w:instrText xml:space="preserve"> PAGEREF _Toc22737 \h </w:instrText>
          </w:r>
          <w:r>
            <w:fldChar w:fldCharType="separate"/>
          </w:r>
          <w:r>
            <w:t>7</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_Toc3923 </w:instrText>
          </w:r>
          <w:r>
            <w:rPr>
              <w:rFonts w:hint="default" w:ascii="Times New Roman" w:hAnsi="Times New Roman" w:cs="Times New Roman"/>
              <w:szCs w:val="32"/>
              <w:lang w:val="en-US" w:eastAsia="zh-CN"/>
            </w:rPr>
            <w:fldChar w:fldCharType="separate"/>
          </w:r>
          <w:r>
            <w:rPr>
              <w:rFonts w:hint="default"/>
            </w:rPr>
            <w:t>4 环境保护设施</w:t>
          </w:r>
          <w:r>
            <w:tab/>
          </w:r>
          <w:r>
            <w:fldChar w:fldCharType="begin"/>
          </w:r>
          <w:r>
            <w:instrText xml:space="preserve"> PAGEREF _Toc3923 \h </w:instrText>
          </w:r>
          <w:r>
            <w:fldChar w:fldCharType="separate"/>
          </w:r>
          <w:r>
            <w:t>8</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_Toc7165 </w:instrText>
          </w:r>
          <w:r>
            <w:rPr>
              <w:rFonts w:hint="default" w:ascii="Times New Roman" w:hAnsi="Times New Roman" w:cs="Times New Roman"/>
              <w:szCs w:val="32"/>
              <w:lang w:val="en-US" w:eastAsia="zh-CN"/>
            </w:rPr>
            <w:fldChar w:fldCharType="separate"/>
          </w:r>
          <w:r>
            <w:rPr>
              <w:rFonts w:hint="default"/>
            </w:rPr>
            <w:t>4.1 污染物治理/处置设施</w:t>
          </w:r>
          <w:r>
            <w:tab/>
          </w:r>
          <w:r>
            <w:fldChar w:fldCharType="begin"/>
          </w:r>
          <w:r>
            <w:instrText xml:space="preserve"> PAGEREF _Toc7165 \h </w:instrText>
          </w:r>
          <w:r>
            <w:fldChar w:fldCharType="separate"/>
          </w:r>
          <w:r>
            <w:t>8</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_Toc28319 </w:instrText>
          </w:r>
          <w:r>
            <w:rPr>
              <w:rFonts w:hint="default" w:ascii="Times New Roman" w:hAnsi="Times New Roman" w:cs="Times New Roman"/>
              <w:szCs w:val="32"/>
              <w:lang w:val="en-US" w:eastAsia="zh-CN"/>
            </w:rPr>
            <w:fldChar w:fldCharType="separate"/>
          </w:r>
          <w:r>
            <w:rPr>
              <w:rFonts w:hint="default"/>
              <w:lang w:val="en-US" w:eastAsia="zh-CN"/>
            </w:rPr>
            <w:t>4.1.1 废气</w:t>
          </w:r>
          <w:r>
            <w:tab/>
          </w:r>
          <w:r>
            <w:fldChar w:fldCharType="begin"/>
          </w:r>
          <w:r>
            <w:instrText xml:space="preserve"> PAGEREF _Toc28319 \h </w:instrText>
          </w:r>
          <w:r>
            <w:fldChar w:fldCharType="separate"/>
          </w:r>
          <w:r>
            <w:t>8</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_Toc12622 </w:instrText>
          </w:r>
          <w:r>
            <w:rPr>
              <w:rFonts w:hint="default" w:ascii="Times New Roman" w:hAnsi="Times New Roman" w:cs="Times New Roman"/>
              <w:szCs w:val="32"/>
              <w:lang w:val="en-US" w:eastAsia="zh-CN"/>
            </w:rPr>
            <w:fldChar w:fldCharType="separate"/>
          </w:r>
          <w:r>
            <w:rPr>
              <w:rFonts w:hint="default"/>
              <w:lang w:val="en-US" w:eastAsia="zh-CN"/>
            </w:rPr>
            <w:t xml:space="preserve">4.1.2 </w:t>
          </w:r>
          <w:r>
            <w:rPr>
              <w:rFonts w:hint="default"/>
            </w:rPr>
            <w:t>废水</w:t>
          </w:r>
          <w:r>
            <w:tab/>
          </w:r>
          <w:r>
            <w:fldChar w:fldCharType="begin"/>
          </w:r>
          <w:r>
            <w:instrText xml:space="preserve"> PAGEREF _Toc12622 \h </w:instrText>
          </w:r>
          <w:r>
            <w:fldChar w:fldCharType="separate"/>
          </w:r>
          <w:r>
            <w:t>9</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_Toc3121 </w:instrText>
          </w:r>
          <w:r>
            <w:rPr>
              <w:rFonts w:hint="default" w:ascii="Times New Roman" w:hAnsi="Times New Roman" w:cs="Times New Roman"/>
              <w:szCs w:val="32"/>
              <w:lang w:val="en-US" w:eastAsia="zh-CN"/>
            </w:rPr>
            <w:fldChar w:fldCharType="separate"/>
          </w:r>
          <w:r>
            <w:rPr>
              <w:rFonts w:hint="default"/>
            </w:rPr>
            <w:t>4.1.3 噪声</w:t>
          </w:r>
          <w:r>
            <w:tab/>
          </w:r>
          <w:r>
            <w:fldChar w:fldCharType="begin"/>
          </w:r>
          <w:r>
            <w:instrText xml:space="preserve"> PAGEREF _Toc3121 \h </w:instrText>
          </w:r>
          <w:r>
            <w:fldChar w:fldCharType="separate"/>
          </w:r>
          <w:r>
            <w:t>9</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_Toc23203 </w:instrText>
          </w:r>
          <w:r>
            <w:rPr>
              <w:rFonts w:hint="default" w:ascii="Times New Roman" w:hAnsi="Times New Roman" w:cs="Times New Roman"/>
              <w:szCs w:val="32"/>
              <w:lang w:val="en-US" w:eastAsia="zh-CN"/>
            </w:rPr>
            <w:fldChar w:fldCharType="separate"/>
          </w:r>
          <w:r>
            <w:rPr>
              <w:rFonts w:hint="default"/>
            </w:rPr>
            <w:t>4.1.4 固体废物</w:t>
          </w:r>
          <w:r>
            <w:tab/>
          </w:r>
          <w:r>
            <w:fldChar w:fldCharType="begin"/>
          </w:r>
          <w:r>
            <w:instrText xml:space="preserve"> PAGEREF _Toc23203 \h </w:instrText>
          </w:r>
          <w:r>
            <w:fldChar w:fldCharType="separate"/>
          </w:r>
          <w:r>
            <w:t>9</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_Toc14890 </w:instrText>
          </w:r>
          <w:r>
            <w:rPr>
              <w:rFonts w:hint="default" w:ascii="Times New Roman" w:hAnsi="Times New Roman" w:cs="Times New Roman"/>
              <w:szCs w:val="32"/>
              <w:lang w:val="en-US" w:eastAsia="zh-CN"/>
            </w:rPr>
            <w:fldChar w:fldCharType="separate"/>
          </w:r>
          <w:r>
            <w:rPr>
              <w:rFonts w:hint="default"/>
              <w:lang w:eastAsia="zh-CN"/>
            </w:rPr>
            <w:t xml:space="preserve">4.2 </w:t>
          </w:r>
          <w:r>
            <w:rPr>
              <w:rFonts w:hint="eastAsia"/>
            </w:rPr>
            <w:t>其他环境保护设施</w:t>
          </w:r>
          <w:r>
            <w:tab/>
          </w:r>
          <w:r>
            <w:fldChar w:fldCharType="begin"/>
          </w:r>
          <w:r>
            <w:instrText xml:space="preserve"> PAGEREF _Toc14890 \h </w:instrText>
          </w:r>
          <w:r>
            <w:fldChar w:fldCharType="separate"/>
          </w:r>
          <w:r>
            <w:t>10</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_Toc17012 </w:instrText>
          </w:r>
          <w:r>
            <w:rPr>
              <w:rFonts w:hint="default" w:ascii="Times New Roman" w:hAnsi="Times New Roman" w:cs="Times New Roman"/>
              <w:szCs w:val="32"/>
              <w:lang w:val="en-US" w:eastAsia="zh-CN"/>
            </w:rPr>
            <w:fldChar w:fldCharType="separate"/>
          </w:r>
          <w:r>
            <w:rPr>
              <w:rFonts w:hint="default"/>
            </w:rPr>
            <w:t xml:space="preserve">5 </w:t>
          </w:r>
          <w:r>
            <w:rPr>
              <w:rFonts w:hint="eastAsia"/>
              <w:lang w:eastAsia="zh-CN"/>
            </w:rPr>
            <w:t>环境影响</w:t>
          </w:r>
          <w:r>
            <w:rPr>
              <w:rFonts w:hint="default"/>
            </w:rPr>
            <w:t>报告</w:t>
          </w:r>
          <w:r>
            <w:rPr>
              <w:rFonts w:hint="eastAsia"/>
              <w:lang w:val="en-US" w:eastAsia="zh-CN"/>
            </w:rPr>
            <w:t>表</w:t>
          </w:r>
          <w:r>
            <w:rPr>
              <w:rFonts w:hint="default"/>
            </w:rPr>
            <w:t>主要结论与建议及</w:t>
          </w:r>
          <w:r>
            <w:rPr>
              <w:rFonts w:hint="eastAsia"/>
              <w:lang w:eastAsia="zh-CN"/>
            </w:rPr>
            <w:t>其</w:t>
          </w:r>
          <w:r>
            <w:rPr>
              <w:rFonts w:hint="default"/>
            </w:rPr>
            <w:t>审批部门审批决定</w:t>
          </w:r>
          <w:r>
            <w:tab/>
          </w:r>
          <w:r>
            <w:fldChar w:fldCharType="begin"/>
          </w:r>
          <w:r>
            <w:instrText xml:space="preserve"> PAGEREF _Toc17012 \h </w:instrText>
          </w:r>
          <w:r>
            <w:fldChar w:fldCharType="separate"/>
          </w:r>
          <w:r>
            <w:t>10</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_Toc24234 </w:instrText>
          </w:r>
          <w:r>
            <w:rPr>
              <w:rFonts w:hint="default" w:ascii="Times New Roman" w:hAnsi="Times New Roman" w:cs="Times New Roman"/>
              <w:szCs w:val="32"/>
              <w:lang w:val="en-US" w:eastAsia="zh-CN"/>
            </w:rPr>
            <w:fldChar w:fldCharType="separate"/>
          </w:r>
          <w:r>
            <w:rPr>
              <w:rFonts w:hint="default"/>
            </w:rPr>
            <w:t>5.1 建设项目环评报告</w:t>
          </w:r>
          <w:r>
            <w:rPr>
              <w:rFonts w:hint="eastAsia"/>
              <w:lang w:val="en-US" w:eastAsia="zh-CN"/>
            </w:rPr>
            <w:t>表</w:t>
          </w:r>
          <w:r>
            <w:rPr>
              <w:rFonts w:hint="default"/>
            </w:rPr>
            <w:t>的主要结论</w:t>
          </w:r>
          <w:r>
            <w:tab/>
          </w:r>
          <w:r>
            <w:fldChar w:fldCharType="begin"/>
          </w:r>
          <w:r>
            <w:instrText xml:space="preserve"> PAGEREF _Toc24234 \h </w:instrText>
          </w:r>
          <w:r>
            <w:fldChar w:fldCharType="separate"/>
          </w:r>
          <w:r>
            <w:t>10</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_Toc11707 </w:instrText>
          </w:r>
          <w:r>
            <w:rPr>
              <w:rFonts w:hint="default" w:ascii="Times New Roman" w:hAnsi="Times New Roman" w:cs="Times New Roman"/>
              <w:szCs w:val="32"/>
              <w:lang w:val="en-US" w:eastAsia="zh-CN"/>
            </w:rPr>
            <w:fldChar w:fldCharType="separate"/>
          </w:r>
          <w:r>
            <w:rPr>
              <w:rFonts w:hint="default"/>
              <w:lang w:eastAsia="zh-CN"/>
            </w:rPr>
            <w:t xml:space="preserve">5.2 </w:t>
          </w:r>
          <w:r>
            <w:rPr>
              <w:rFonts w:hint="default"/>
            </w:rPr>
            <w:t>审批部门审批</w:t>
          </w:r>
          <w:r>
            <w:rPr>
              <w:rFonts w:hint="eastAsia"/>
              <w:lang w:val="en-US" w:eastAsia="zh-CN"/>
            </w:rPr>
            <w:t>决定</w:t>
          </w:r>
          <w:r>
            <w:tab/>
          </w:r>
          <w:r>
            <w:fldChar w:fldCharType="begin"/>
          </w:r>
          <w:r>
            <w:instrText xml:space="preserve"> PAGEREF _Toc11707 \h </w:instrText>
          </w:r>
          <w:r>
            <w:fldChar w:fldCharType="separate"/>
          </w:r>
          <w:r>
            <w:t>10</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_Toc19612 </w:instrText>
          </w:r>
          <w:r>
            <w:rPr>
              <w:rFonts w:hint="default" w:ascii="Times New Roman" w:hAnsi="Times New Roman" w:cs="Times New Roman"/>
              <w:szCs w:val="32"/>
              <w:lang w:val="en-US" w:eastAsia="zh-CN"/>
            </w:rPr>
            <w:fldChar w:fldCharType="separate"/>
          </w:r>
          <w:r>
            <w:rPr>
              <w:rFonts w:hint="default"/>
            </w:rPr>
            <w:t>6 验收执行标准</w:t>
          </w:r>
          <w:r>
            <w:tab/>
          </w:r>
          <w:r>
            <w:fldChar w:fldCharType="begin"/>
          </w:r>
          <w:r>
            <w:instrText xml:space="preserve"> PAGEREF _Toc19612 \h </w:instrText>
          </w:r>
          <w:r>
            <w:fldChar w:fldCharType="separate"/>
          </w:r>
          <w:r>
            <w:t>12</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_Toc9773 </w:instrText>
          </w:r>
          <w:r>
            <w:rPr>
              <w:rFonts w:hint="default" w:ascii="Times New Roman" w:hAnsi="Times New Roman" w:cs="Times New Roman"/>
              <w:szCs w:val="32"/>
              <w:lang w:val="en-US" w:eastAsia="zh-CN"/>
            </w:rPr>
            <w:fldChar w:fldCharType="separate"/>
          </w:r>
          <w:r>
            <w:rPr>
              <w:rFonts w:hint="default"/>
            </w:rPr>
            <w:t>6.1 废气</w:t>
          </w:r>
          <w:r>
            <w:tab/>
          </w:r>
          <w:r>
            <w:fldChar w:fldCharType="begin"/>
          </w:r>
          <w:r>
            <w:instrText xml:space="preserve"> PAGEREF _Toc9773 \h </w:instrText>
          </w:r>
          <w:r>
            <w:fldChar w:fldCharType="separate"/>
          </w:r>
          <w:r>
            <w:t>12</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_Toc10126 </w:instrText>
          </w:r>
          <w:r>
            <w:rPr>
              <w:rFonts w:hint="default" w:ascii="Times New Roman" w:hAnsi="Times New Roman" w:cs="Times New Roman"/>
              <w:szCs w:val="32"/>
              <w:lang w:val="en-US" w:eastAsia="zh-CN"/>
            </w:rPr>
            <w:fldChar w:fldCharType="separate"/>
          </w:r>
          <w:r>
            <w:rPr>
              <w:rFonts w:hint="default"/>
            </w:rPr>
            <w:t>6.2 噪声</w:t>
          </w:r>
          <w:r>
            <w:tab/>
          </w:r>
          <w:r>
            <w:fldChar w:fldCharType="begin"/>
          </w:r>
          <w:r>
            <w:instrText xml:space="preserve"> PAGEREF _Toc10126 \h </w:instrText>
          </w:r>
          <w:r>
            <w:fldChar w:fldCharType="separate"/>
          </w:r>
          <w:r>
            <w:t>12</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_Toc10018 </w:instrText>
          </w:r>
          <w:r>
            <w:rPr>
              <w:rFonts w:hint="default" w:ascii="Times New Roman" w:hAnsi="Times New Roman" w:cs="Times New Roman"/>
              <w:szCs w:val="32"/>
              <w:lang w:val="en-US" w:eastAsia="zh-CN"/>
            </w:rPr>
            <w:fldChar w:fldCharType="separate"/>
          </w:r>
          <w:r>
            <w:rPr>
              <w:rFonts w:hint="default"/>
            </w:rPr>
            <w:t>6.3 固体废物</w:t>
          </w:r>
          <w:r>
            <w:tab/>
          </w:r>
          <w:r>
            <w:fldChar w:fldCharType="begin"/>
          </w:r>
          <w:r>
            <w:instrText xml:space="preserve"> PAGEREF _Toc10018 \h </w:instrText>
          </w:r>
          <w:r>
            <w:fldChar w:fldCharType="separate"/>
          </w:r>
          <w:r>
            <w:t>13</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_Toc21357 </w:instrText>
          </w:r>
          <w:r>
            <w:rPr>
              <w:rFonts w:hint="default" w:ascii="Times New Roman" w:hAnsi="Times New Roman" w:cs="Times New Roman"/>
              <w:szCs w:val="32"/>
              <w:lang w:val="en-US" w:eastAsia="zh-CN"/>
            </w:rPr>
            <w:fldChar w:fldCharType="separate"/>
          </w:r>
          <w:r>
            <w:rPr>
              <w:rFonts w:hint="default"/>
            </w:rPr>
            <w:t>7 验收</w:t>
          </w:r>
          <w:r>
            <w:rPr>
              <w:rFonts w:hint="default"/>
              <w:lang w:eastAsia="zh-CN"/>
            </w:rPr>
            <w:t>监测</w:t>
          </w:r>
          <w:r>
            <w:rPr>
              <w:rFonts w:hint="default"/>
            </w:rPr>
            <w:t>内容</w:t>
          </w:r>
          <w:r>
            <w:tab/>
          </w:r>
          <w:r>
            <w:fldChar w:fldCharType="begin"/>
          </w:r>
          <w:r>
            <w:instrText xml:space="preserve"> PAGEREF _Toc21357 \h </w:instrText>
          </w:r>
          <w:r>
            <w:fldChar w:fldCharType="separate"/>
          </w:r>
          <w:r>
            <w:t>13</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_Toc27363 </w:instrText>
          </w:r>
          <w:r>
            <w:rPr>
              <w:rFonts w:hint="default" w:ascii="Times New Roman" w:hAnsi="Times New Roman" w:cs="Times New Roman"/>
              <w:szCs w:val="32"/>
              <w:lang w:val="en-US" w:eastAsia="zh-CN"/>
            </w:rPr>
            <w:fldChar w:fldCharType="separate"/>
          </w:r>
          <w:r>
            <w:rPr>
              <w:rFonts w:hint="default"/>
              <w:lang w:val="en-US" w:eastAsia="zh-CN"/>
            </w:rPr>
            <w:t>7.1 环境保护设施调试</w:t>
          </w:r>
          <w:r>
            <w:rPr>
              <w:rFonts w:hint="eastAsia"/>
              <w:lang w:val="en-US" w:eastAsia="zh-CN"/>
            </w:rPr>
            <w:t>运行</w:t>
          </w:r>
          <w:r>
            <w:rPr>
              <w:rFonts w:hint="default"/>
              <w:lang w:val="en-US" w:eastAsia="zh-CN"/>
            </w:rPr>
            <w:t>效果</w:t>
          </w:r>
          <w:r>
            <w:tab/>
          </w:r>
          <w:r>
            <w:fldChar w:fldCharType="begin"/>
          </w:r>
          <w:r>
            <w:instrText xml:space="preserve"> PAGEREF _Toc27363 \h </w:instrText>
          </w:r>
          <w:r>
            <w:fldChar w:fldCharType="separate"/>
          </w:r>
          <w:r>
            <w:t>13</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_Toc14128 </w:instrText>
          </w:r>
          <w:r>
            <w:rPr>
              <w:rFonts w:hint="default" w:ascii="Times New Roman" w:hAnsi="Times New Roman" w:cs="Times New Roman"/>
              <w:szCs w:val="32"/>
              <w:lang w:val="en-US" w:eastAsia="zh-CN"/>
            </w:rPr>
            <w:fldChar w:fldCharType="separate"/>
          </w:r>
          <w:r>
            <w:rPr>
              <w:rFonts w:hint="default"/>
              <w:lang w:val="en-US" w:eastAsia="zh-CN"/>
            </w:rPr>
            <w:t>7.1.1 废气</w:t>
          </w:r>
          <w:r>
            <w:tab/>
          </w:r>
          <w:r>
            <w:fldChar w:fldCharType="begin"/>
          </w:r>
          <w:r>
            <w:instrText xml:space="preserve"> PAGEREF _Toc14128 \h </w:instrText>
          </w:r>
          <w:r>
            <w:fldChar w:fldCharType="separate"/>
          </w:r>
          <w:r>
            <w:t>13</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_Toc9008 </w:instrText>
          </w:r>
          <w:r>
            <w:rPr>
              <w:rFonts w:hint="default" w:ascii="Times New Roman" w:hAnsi="Times New Roman" w:cs="Times New Roman"/>
              <w:szCs w:val="32"/>
              <w:lang w:val="en-US" w:eastAsia="zh-CN"/>
            </w:rPr>
            <w:fldChar w:fldCharType="separate"/>
          </w:r>
          <w:r>
            <w:rPr>
              <w:rFonts w:hint="default"/>
              <w:lang w:val="en-US" w:eastAsia="zh-CN"/>
            </w:rPr>
            <w:t>7.1.2 厂界噪声</w:t>
          </w:r>
          <w:r>
            <w:tab/>
          </w:r>
          <w:r>
            <w:fldChar w:fldCharType="begin"/>
          </w:r>
          <w:r>
            <w:instrText xml:space="preserve"> PAGEREF _Toc9008 \h </w:instrText>
          </w:r>
          <w:r>
            <w:fldChar w:fldCharType="separate"/>
          </w:r>
          <w:r>
            <w:t>13</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_Toc4521 </w:instrText>
          </w:r>
          <w:r>
            <w:rPr>
              <w:rFonts w:hint="default" w:ascii="Times New Roman" w:hAnsi="Times New Roman" w:cs="Times New Roman"/>
              <w:szCs w:val="32"/>
              <w:lang w:val="en-US" w:eastAsia="zh-CN"/>
            </w:rPr>
            <w:fldChar w:fldCharType="separate"/>
          </w:r>
          <w:r>
            <w:rPr>
              <w:rFonts w:hint="default"/>
            </w:rPr>
            <w:t>8 质量保证及质量控制</w:t>
          </w:r>
          <w:r>
            <w:tab/>
          </w:r>
          <w:r>
            <w:fldChar w:fldCharType="begin"/>
          </w:r>
          <w:r>
            <w:instrText xml:space="preserve"> PAGEREF _Toc4521 \h </w:instrText>
          </w:r>
          <w:r>
            <w:fldChar w:fldCharType="separate"/>
          </w:r>
          <w:r>
            <w:t>14</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_Toc32579 </w:instrText>
          </w:r>
          <w:r>
            <w:rPr>
              <w:rFonts w:hint="default" w:ascii="Times New Roman" w:hAnsi="Times New Roman" w:cs="Times New Roman"/>
              <w:szCs w:val="32"/>
              <w:lang w:val="en-US" w:eastAsia="zh-CN"/>
            </w:rPr>
            <w:fldChar w:fldCharType="separate"/>
          </w:r>
          <w:r>
            <w:rPr>
              <w:rFonts w:hint="default"/>
            </w:rPr>
            <w:t xml:space="preserve">8.1 </w:t>
          </w:r>
          <w:r>
            <w:rPr>
              <w:rFonts w:hint="eastAsia"/>
              <w:lang w:val="en-US" w:eastAsia="zh-CN"/>
            </w:rPr>
            <w:t>检测仪器及</w:t>
          </w:r>
          <w:r>
            <w:rPr>
              <w:rFonts w:hint="default"/>
            </w:rPr>
            <w:t>分析方法</w:t>
          </w:r>
          <w:r>
            <w:tab/>
          </w:r>
          <w:r>
            <w:fldChar w:fldCharType="begin"/>
          </w:r>
          <w:r>
            <w:instrText xml:space="preserve"> PAGEREF _Toc32579 \h </w:instrText>
          </w:r>
          <w:r>
            <w:fldChar w:fldCharType="separate"/>
          </w:r>
          <w:r>
            <w:t>14</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_Toc23065 </w:instrText>
          </w:r>
          <w:r>
            <w:rPr>
              <w:rFonts w:hint="default" w:ascii="Times New Roman" w:hAnsi="Times New Roman" w:cs="Times New Roman"/>
              <w:szCs w:val="32"/>
              <w:lang w:val="en-US" w:eastAsia="zh-CN"/>
            </w:rPr>
            <w:fldChar w:fldCharType="separate"/>
          </w:r>
          <w:r>
            <w:rPr>
              <w:rFonts w:hint="default"/>
              <w:lang w:val="en-US" w:eastAsia="zh-CN"/>
            </w:rPr>
            <w:t>8.2 监测分析过程中的质量保证和质量控制</w:t>
          </w:r>
          <w:r>
            <w:tab/>
          </w:r>
          <w:r>
            <w:fldChar w:fldCharType="begin"/>
          </w:r>
          <w:r>
            <w:instrText xml:space="preserve"> PAGEREF _Toc23065 \h </w:instrText>
          </w:r>
          <w:r>
            <w:fldChar w:fldCharType="separate"/>
          </w:r>
          <w:r>
            <w:t>15</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_Toc12952 </w:instrText>
          </w:r>
          <w:r>
            <w:rPr>
              <w:rFonts w:hint="default" w:ascii="Times New Roman" w:hAnsi="Times New Roman" w:cs="Times New Roman"/>
              <w:szCs w:val="32"/>
              <w:lang w:val="en-US" w:eastAsia="zh-CN"/>
            </w:rPr>
            <w:fldChar w:fldCharType="separate"/>
          </w:r>
          <w:r>
            <w:rPr>
              <w:rFonts w:hint="default"/>
            </w:rPr>
            <w:t>9 验收</w:t>
          </w:r>
          <w:r>
            <w:rPr>
              <w:rFonts w:hint="default"/>
              <w:lang w:eastAsia="zh-CN"/>
            </w:rPr>
            <w:t>监测</w:t>
          </w:r>
          <w:r>
            <w:rPr>
              <w:rFonts w:hint="default"/>
            </w:rPr>
            <w:t>结果</w:t>
          </w:r>
          <w:r>
            <w:tab/>
          </w:r>
          <w:r>
            <w:fldChar w:fldCharType="begin"/>
          </w:r>
          <w:r>
            <w:instrText xml:space="preserve"> PAGEREF _Toc12952 \h </w:instrText>
          </w:r>
          <w:r>
            <w:fldChar w:fldCharType="separate"/>
          </w:r>
          <w:r>
            <w:t>15</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_Toc12867 </w:instrText>
          </w:r>
          <w:r>
            <w:rPr>
              <w:rFonts w:hint="default" w:ascii="Times New Roman" w:hAnsi="Times New Roman" w:cs="Times New Roman"/>
              <w:szCs w:val="32"/>
              <w:lang w:val="en-US" w:eastAsia="zh-CN"/>
            </w:rPr>
            <w:fldChar w:fldCharType="separate"/>
          </w:r>
          <w:r>
            <w:rPr>
              <w:rFonts w:hint="default"/>
              <w:lang w:eastAsia="zh-CN"/>
            </w:rPr>
            <w:t xml:space="preserve">9.1 </w:t>
          </w:r>
          <w:r>
            <w:rPr>
              <w:rFonts w:hint="default"/>
              <w:lang w:val="en-US" w:eastAsia="zh-CN"/>
            </w:rPr>
            <w:t>生产工况</w:t>
          </w:r>
          <w:r>
            <w:tab/>
          </w:r>
          <w:r>
            <w:fldChar w:fldCharType="begin"/>
          </w:r>
          <w:r>
            <w:instrText xml:space="preserve"> PAGEREF _Toc12867 \h </w:instrText>
          </w:r>
          <w:r>
            <w:fldChar w:fldCharType="separate"/>
          </w:r>
          <w:r>
            <w:t>15</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_Toc2880 </w:instrText>
          </w:r>
          <w:r>
            <w:rPr>
              <w:rFonts w:hint="default" w:ascii="Times New Roman" w:hAnsi="Times New Roman" w:cs="Times New Roman"/>
              <w:szCs w:val="32"/>
              <w:lang w:val="en-US" w:eastAsia="zh-CN"/>
            </w:rPr>
            <w:fldChar w:fldCharType="separate"/>
          </w:r>
          <w:r>
            <w:rPr>
              <w:rFonts w:hint="default"/>
            </w:rPr>
            <w:t xml:space="preserve">9.2 </w:t>
          </w:r>
          <w:r>
            <w:rPr>
              <w:rFonts w:hint="default"/>
              <w:lang w:eastAsia="zh-CN"/>
            </w:rPr>
            <w:t>环保设施调试</w:t>
          </w:r>
          <w:r>
            <w:rPr>
              <w:rFonts w:hint="eastAsia"/>
              <w:lang w:eastAsia="zh-CN"/>
            </w:rPr>
            <w:t>运行</w:t>
          </w:r>
          <w:r>
            <w:rPr>
              <w:rFonts w:hint="default"/>
              <w:lang w:eastAsia="zh-CN"/>
            </w:rPr>
            <w:t>效果</w:t>
          </w:r>
          <w:r>
            <w:tab/>
          </w:r>
          <w:r>
            <w:fldChar w:fldCharType="begin"/>
          </w:r>
          <w:r>
            <w:instrText xml:space="preserve"> PAGEREF _Toc2880 \h </w:instrText>
          </w:r>
          <w:r>
            <w:fldChar w:fldCharType="separate"/>
          </w:r>
          <w:r>
            <w:t>15</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_Toc24062 </w:instrText>
          </w:r>
          <w:r>
            <w:rPr>
              <w:rFonts w:hint="default" w:ascii="Times New Roman" w:hAnsi="Times New Roman" w:cs="Times New Roman"/>
              <w:szCs w:val="32"/>
              <w:lang w:val="en-US" w:eastAsia="zh-CN"/>
            </w:rPr>
            <w:fldChar w:fldCharType="separate"/>
          </w:r>
          <w:r>
            <w:rPr>
              <w:rFonts w:hint="default"/>
              <w:lang w:val="en-US" w:eastAsia="zh-CN"/>
            </w:rPr>
            <w:t xml:space="preserve">9.2.1 </w:t>
          </w:r>
          <w:r>
            <w:rPr>
              <w:rFonts w:hint="eastAsia"/>
              <w:lang w:val="en-US" w:eastAsia="zh-CN"/>
            </w:rPr>
            <w:t>废气治理设施</w:t>
          </w:r>
          <w:r>
            <w:tab/>
          </w:r>
          <w:r>
            <w:fldChar w:fldCharType="begin"/>
          </w:r>
          <w:r>
            <w:instrText xml:space="preserve"> PAGEREF _Toc24062 \h </w:instrText>
          </w:r>
          <w:r>
            <w:fldChar w:fldCharType="separate"/>
          </w:r>
          <w:r>
            <w:t>15</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_Toc23439 </w:instrText>
          </w:r>
          <w:r>
            <w:rPr>
              <w:rFonts w:hint="default" w:ascii="Times New Roman" w:hAnsi="Times New Roman" w:cs="Times New Roman"/>
              <w:szCs w:val="32"/>
              <w:lang w:val="en-US" w:eastAsia="zh-CN"/>
            </w:rPr>
            <w:fldChar w:fldCharType="separate"/>
          </w:r>
          <w:r>
            <w:rPr>
              <w:rFonts w:hint="default"/>
              <w:lang w:val="en-US" w:eastAsia="zh-CN"/>
            </w:rPr>
            <w:t xml:space="preserve">9.2.2 </w:t>
          </w:r>
          <w:r>
            <w:rPr>
              <w:rFonts w:hint="eastAsia"/>
              <w:lang w:val="en-US" w:eastAsia="zh-CN"/>
            </w:rPr>
            <w:t>噪声治理设施</w:t>
          </w:r>
          <w:r>
            <w:tab/>
          </w:r>
          <w:r>
            <w:fldChar w:fldCharType="begin"/>
          </w:r>
          <w:r>
            <w:instrText xml:space="preserve"> PAGEREF _Toc23439 \h </w:instrText>
          </w:r>
          <w:r>
            <w:fldChar w:fldCharType="separate"/>
          </w:r>
          <w:r>
            <w:t>16</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_Toc5291 </w:instrText>
          </w:r>
          <w:r>
            <w:rPr>
              <w:rFonts w:hint="default" w:ascii="Times New Roman" w:hAnsi="Times New Roman" w:cs="Times New Roman"/>
              <w:szCs w:val="32"/>
              <w:lang w:val="en-US" w:eastAsia="zh-CN"/>
            </w:rPr>
            <w:fldChar w:fldCharType="separate"/>
          </w:r>
          <w:r>
            <w:rPr>
              <w:rFonts w:hint="default"/>
              <w:lang w:val="en-US" w:eastAsia="zh-CN"/>
            </w:rPr>
            <w:t xml:space="preserve">9.2.3 </w:t>
          </w:r>
          <w:r>
            <w:rPr>
              <w:rFonts w:hint="eastAsia"/>
              <w:lang w:val="en-US" w:eastAsia="zh-CN"/>
            </w:rPr>
            <w:t>固体废物治理设施</w:t>
          </w:r>
          <w:r>
            <w:tab/>
          </w:r>
          <w:r>
            <w:fldChar w:fldCharType="begin"/>
          </w:r>
          <w:r>
            <w:instrText xml:space="preserve"> PAGEREF _Toc5291 \h </w:instrText>
          </w:r>
          <w:r>
            <w:fldChar w:fldCharType="separate"/>
          </w:r>
          <w:r>
            <w:t>16</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_Toc23131 </w:instrText>
          </w:r>
          <w:r>
            <w:rPr>
              <w:rFonts w:hint="default" w:ascii="Times New Roman" w:hAnsi="Times New Roman" w:cs="Times New Roman"/>
              <w:szCs w:val="32"/>
              <w:lang w:val="en-US" w:eastAsia="zh-CN"/>
            </w:rPr>
            <w:fldChar w:fldCharType="separate"/>
          </w:r>
          <w:r>
            <w:rPr>
              <w:rFonts w:hint="default"/>
              <w:lang w:val="en-US" w:eastAsia="zh-CN"/>
            </w:rPr>
            <w:t xml:space="preserve">9.3 </w:t>
          </w:r>
          <w:r>
            <w:rPr>
              <w:rFonts w:hint="eastAsia"/>
              <w:lang w:val="en-US" w:eastAsia="zh-CN"/>
            </w:rPr>
            <w:t>污染物排放监测结果</w:t>
          </w:r>
          <w:r>
            <w:tab/>
          </w:r>
          <w:r>
            <w:fldChar w:fldCharType="begin"/>
          </w:r>
          <w:r>
            <w:instrText xml:space="preserve"> PAGEREF _Toc23131 \h </w:instrText>
          </w:r>
          <w:r>
            <w:fldChar w:fldCharType="separate"/>
          </w:r>
          <w:r>
            <w:t>17</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_Toc25328 </w:instrText>
          </w:r>
          <w:r>
            <w:rPr>
              <w:rFonts w:hint="default" w:ascii="Times New Roman" w:hAnsi="Times New Roman" w:cs="Times New Roman"/>
              <w:szCs w:val="32"/>
              <w:lang w:val="en-US" w:eastAsia="zh-CN"/>
            </w:rPr>
            <w:fldChar w:fldCharType="separate"/>
          </w:r>
          <w:r>
            <w:rPr>
              <w:rFonts w:hint="default"/>
              <w:lang w:eastAsia="zh-CN"/>
            </w:rPr>
            <w:t xml:space="preserve">9.3.1 </w:t>
          </w:r>
          <w:r>
            <w:rPr>
              <w:rFonts w:hint="default"/>
              <w:lang w:val="en-US" w:eastAsia="zh-CN"/>
            </w:rPr>
            <w:t>废气</w:t>
          </w:r>
          <w:r>
            <w:tab/>
          </w:r>
          <w:r>
            <w:fldChar w:fldCharType="begin"/>
          </w:r>
          <w:r>
            <w:instrText xml:space="preserve"> PAGEREF _Toc25328 \h </w:instrText>
          </w:r>
          <w:r>
            <w:fldChar w:fldCharType="separate"/>
          </w:r>
          <w:r>
            <w:t>17</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_Toc30257 </w:instrText>
          </w:r>
          <w:r>
            <w:rPr>
              <w:rFonts w:hint="default" w:ascii="Times New Roman" w:hAnsi="Times New Roman" w:cs="Times New Roman"/>
              <w:szCs w:val="32"/>
              <w:lang w:val="en-US" w:eastAsia="zh-CN"/>
            </w:rPr>
            <w:fldChar w:fldCharType="separate"/>
          </w:r>
          <w:r>
            <w:rPr>
              <w:rFonts w:hint="default"/>
              <w:lang w:eastAsia="zh-CN"/>
            </w:rPr>
            <w:t xml:space="preserve">9.3.2 </w:t>
          </w:r>
          <w:r>
            <w:rPr>
              <w:rFonts w:hint="eastAsia"/>
              <w:lang w:val="en-US" w:eastAsia="zh-CN"/>
            </w:rPr>
            <w:t>噪声</w:t>
          </w:r>
          <w:r>
            <w:tab/>
          </w:r>
          <w:r>
            <w:fldChar w:fldCharType="begin"/>
          </w:r>
          <w:r>
            <w:instrText xml:space="preserve"> PAGEREF _Toc30257 \h </w:instrText>
          </w:r>
          <w:r>
            <w:fldChar w:fldCharType="separate"/>
          </w:r>
          <w:r>
            <w:t>19</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_Toc18338 </w:instrText>
          </w:r>
          <w:r>
            <w:rPr>
              <w:rFonts w:hint="default" w:ascii="Times New Roman" w:hAnsi="Times New Roman" w:cs="Times New Roman"/>
              <w:szCs w:val="32"/>
              <w:lang w:val="en-US" w:eastAsia="zh-CN"/>
            </w:rPr>
            <w:fldChar w:fldCharType="separate"/>
          </w:r>
          <w:r>
            <w:rPr>
              <w:rFonts w:hint="default"/>
            </w:rPr>
            <w:t>9.3.3 污染物排放总量核算</w:t>
          </w:r>
          <w:r>
            <w:tab/>
          </w:r>
          <w:r>
            <w:fldChar w:fldCharType="begin"/>
          </w:r>
          <w:r>
            <w:instrText xml:space="preserve"> PAGEREF _Toc18338 \h </w:instrText>
          </w:r>
          <w:r>
            <w:fldChar w:fldCharType="separate"/>
          </w:r>
          <w:r>
            <w:t>20</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_Toc15138 </w:instrText>
          </w:r>
          <w:r>
            <w:rPr>
              <w:rFonts w:hint="default" w:ascii="Times New Roman" w:hAnsi="Times New Roman" w:cs="Times New Roman"/>
              <w:szCs w:val="32"/>
              <w:lang w:val="en-US" w:eastAsia="zh-CN"/>
            </w:rPr>
            <w:fldChar w:fldCharType="separate"/>
          </w:r>
          <w:r>
            <w:rPr>
              <w:rFonts w:hint="default"/>
            </w:rPr>
            <w:t xml:space="preserve">10 </w:t>
          </w:r>
          <w:r>
            <w:rPr>
              <w:rFonts w:hint="default"/>
              <w:lang w:eastAsia="zh-CN"/>
            </w:rPr>
            <w:t>验收监测结论</w:t>
          </w:r>
          <w:r>
            <w:tab/>
          </w:r>
          <w:r>
            <w:fldChar w:fldCharType="begin"/>
          </w:r>
          <w:r>
            <w:instrText xml:space="preserve"> PAGEREF _Toc15138 \h </w:instrText>
          </w:r>
          <w:r>
            <w:fldChar w:fldCharType="separate"/>
          </w:r>
          <w:r>
            <w:t>20</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_Toc19667 </w:instrText>
          </w:r>
          <w:r>
            <w:rPr>
              <w:rFonts w:hint="default" w:ascii="Times New Roman" w:hAnsi="Times New Roman" w:cs="Times New Roman"/>
              <w:szCs w:val="32"/>
              <w:lang w:val="en-US" w:eastAsia="zh-CN"/>
            </w:rPr>
            <w:fldChar w:fldCharType="separate"/>
          </w:r>
          <w:r>
            <w:rPr>
              <w:rFonts w:hint="default"/>
            </w:rPr>
            <w:t>10.1 环保设施调试</w:t>
          </w:r>
          <w:r>
            <w:rPr>
              <w:rFonts w:hint="default"/>
              <w:lang w:eastAsia="zh-CN"/>
            </w:rPr>
            <w:t>运行</w:t>
          </w:r>
          <w:r>
            <w:rPr>
              <w:rFonts w:hint="default"/>
            </w:rPr>
            <w:t>效果</w:t>
          </w:r>
          <w:r>
            <w:tab/>
          </w:r>
          <w:r>
            <w:fldChar w:fldCharType="begin"/>
          </w:r>
          <w:r>
            <w:instrText xml:space="preserve"> PAGEREF _Toc19667 \h </w:instrText>
          </w:r>
          <w:r>
            <w:fldChar w:fldCharType="separate"/>
          </w:r>
          <w:r>
            <w:t>20</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_Toc10272 </w:instrText>
          </w:r>
          <w:r>
            <w:rPr>
              <w:rFonts w:hint="default" w:ascii="Times New Roman" w:hAnsi="Times New Roman" w:cs="Times New Roman"/>
              <w:szCs w:val="32"/>
              <w:lang w:val="en-US" w:eastAsia="zh-CN"/>
            </w:rPr>
            <w:fldChar w:fldCharType="separate"/>
          </w:r>
          <w:r>
            <w:rPr>
              <w:rFonts w:hint="default"/>
            </w:rPr>
            <w:t xml:space="preserve">10.1.1 </w:t>
          </w:r>
          <w:r>
            <w:t>环保设施处理效率监测结果</w:t>
          </w:r>
          <w:r>
            <w:tab/>
          </w:r>
          <w:r>
            <w:fldChar w:fldCharType="begin"/>
          </w:r>
          <w:r>
            <w:instrText xml:space="preserve"> PAGEREF _Toc10272 \h </w:instrText>
          </w:r>
          <w:r>
            <w:fldChar w:fldCharType="separate"/>
          </w:r>
          <w:r>
            <w:t>20</w:t>
          </w:r>
          <w:r>
            <w:fldChar w:fldCharType="end"/>
          </w:r>
          <w:r>
            <w:rPr>
              <w:rFonts w:hint="default" w:ascii="Times New Roman" w:hAnsi="Times New Roman" w:cs="Times New Roman"/>
              <w:szCs w:val="32"/>
              <w:lang w:val="en-US" w:eastAsia="zh-CN"/>
            </w:rPr>
            <w:fldChar w:fldCharType="end"/>
          </w:r>
        </w:p>
        <w:p>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_Toc9806 </w:instrText>
          </w:r>
          <w:r>
            <w:rPr>
              <w:rFonts w:hint="default" w:ascii="Times New Roman" w:hAnsi="Times New Roman" w:cs="Times New Roman"/>
              <w:szCs w:val="32"/>
              <w:lang w:val="en-US" w:eastAsia="zh-CN"/>
            </w:rPr>
            <w:fldChar w:fldCharType="separate"/>
          </w:r>
          <w:r>
            <w:rPr>
              <w:rFonts w:hint="default"/>
              <w:lang w:val="en-US" w:eastAsia="zh-CN"/>
            </w:rPr>
            <w:t xml:space="preserve">10.1.2 </w:t>
          </w:r>
          <w:r>
            <w:rPr>
              <w:rFonts w:hint="default"/>
            </w:rPr>
            <w:t>污染物排放</w:t>
          </w:r>
          <w:r>
            <w:rPr>
              <w:rFonts w:hint="default"/>
              <w:lang w:eastAsia="zh-CN"/>
            </w:rPr>
            <w:t>监测结果</w:t>
          </w:r>
          <w:r>
            <w:tab/>
          </w:r>
          <w:r>
            <w:fldChar w:fldCharType="begin"/>
          </w:r>
          <w:r>
            <w:instrText xml:space="preserve"> PAGEREF _Toc9806 \h </w:instrText>
          </w:r>
          <w:r>
            <w:fldChar w:fldCharType="separate"/>
          </w:r>
          <w:r>
            <w:t>21</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_Toc30711 </w:instrText>
          </w:r>
          <w:r>
            <w:rPr>
              <w:rFonts w:hint="default" w:ascii="Times New Roman" w:hAnsi="Times New Roman" w:cs="Times New Roman"/>
              <w:szCs w:val="32"/>
              <w:lang w:val="en-US" w:eastAsia="zh-CN"/>
            </w:rPr>
            <w:fldChar w:fldCharType="separate"/>
          </w:r>
          <w:r>
            <w:rPr>
              <w:rFonts w:hint="default"/>
              <w:lang w:val="en-US" w:eastAsia="zh-CN"/>
            </w:rPr>
            <w:t xml:space="preserve">10.2 </w:t>
          </w:r>
          <w:r>
            <w:rPr>
              <w:rFonts w:hint="eastAsia"/>
              <w:lang w:val="en-US" w:eastAsia="zh-CN"/>
            </w:rPr>
            <w:t>环境管理检查结论</w:t>
          </w:r>
          <w:r>
            <w:tab/>
          </w:r>
          <w:r>
            <w:fldChar w:fldCharType="begin"/>
          </w:r>
          <w:r>
            <w:instrText xml:space="preserve"> PAGEREF _Toc30711 \h </w:instrText>
          </w:r>
          <w:r>
            <w:fldChar w:fldCharType="separate"/>
          </w:r>
          <w:r>
            <w:t>22</w:t>
          </w:r>
          <w:r>
            <w:fldChar w:fldCharType="end"/>
          </w:r>
          <w:r>
            <w:rPr>
              <w:rFonts w:hint="default" w:ascii="Times New Roman" w:hAnsi="Times New Roman" w:cs="Times New Roman"/>
              <w:szCs w:val="32"/>
              <w:lang w:val="en-US" w:eastAsia="zh-CN"/>
            </w:rPr>
            <w:fldChar w:fldCharType="end"/>
          </w:r>
        </w:p>
        <w:p>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_Toc26897 </w:instrText>
          </w:r>
          <w:r>
            <w:rPr>
              <w:rFonts w:hint="default" w:ascii="Times New Roman" w:hAnsi="Times New Roman" w:cs="Times New Roman"/>
              <w:szCs w:val="32"/>
              <w:lang w:val="en-US" w:eastAsia="zh-CN"/>
            </w:rPr>
            <w:fldChar w:fldCharType="separate"/>
          </w:r>
          <w:r>
            <w:rPr>
              <w:rFonts w:hint="default"/>
              <w:lang w:val="en-US" w:eastAsia="zh-CN"/>
            </w:rPr>
            <w:t xml:space="preserve">10.3 </w:t>
          </w:r>
          <w:r>
            <w:rPr>
              <w:rFonts w:hint="eastAsia"/>
              <w:lang w:val="en-US" w:eastAsia="zh-CN"/>
            </w:rPr>
            <w:t>总结论</w:t>
          </w:r>
          <w:r>
            <w:tab/>
          </w:r>
          <w:r>
            <w:fldChar w:fldCharType="begin"/>
          </w:r>
          <w:r>
            <w:instrText xml:space="preserve"> PAGEREF _Toc26897 \h </w:instrText>
          </w:r>
          <w:r>
            <w:fldChar w:fldCharType="separate"/>
          </w:r>
          <w:r>
            <w:t>22</w:t>
          </w:r>
          <w:r>
            <w:fldChar w:fldCharType="end"/>
          </w:r>
          <w:r>
            <w:rPr>
              <w:rFonts w:hint="default" w:ascii="Times New Roman" w:hAnsi="Times New Roman" w:cs="Times New Roman"/>
              <w:szCs w:val="32"/>
              <w:lang w:val="en-US" w:eastAsia="zh-CN"/>
            </w:rPr>
            <w:fldChar w:fldCharType="end"/>
          </w:r>
        </w:p>
        <w:p>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_Toc17262 </w:instrText>
          </w:r>
          <w:r>
            <w:rPr>
              <w:rFonts w:hint="default" w:ascii="Times New Roman" w:hAnsi="Times New Roman" w:cs="Times New Roman"/>
              <w:szCs w:val="32"/>
              <w:lang w:val="en-US" w:eastAsia="zh-CN"/>
            </w:rPr>
            <w:fldChar w:fldCharType="separate"/>
          </w:r>
          <w:r>
            <w:rPr>
              <w:rFonts w:hint="default"/>
            </w:rPr>
            <w:t>11 建设项目竣工环境保护</w:t>
          </w:r>
          <w:r>
            <w:rPr>
              <w:rFonts w:hint="eastAsia"/>
              <w:lang w:eastAsia="zh-CN"/>
            </w:rPr>
            <w:t>“</w:t>
          </w:r>
          <w:r>
            <w:rPr>
              <w:rFonts w:hint="default"/>
            </w:rPr>
            <w:t>三同时</w:t>
          </w:r>
          <w:r>
            <w:rPr>
              <w:rFonts w:hint="eastAsia"/>
              <w:lang w:eastAsia="zh-CN"/>
            </w:rPr>
            <w:t>”</w:t>
          </w:r>
          <w:r>
            <w:rPr>
              <w:rFonts w:hint="default"/>
            </w:rPr>
            <w:t>验收登记表</w:t>
          </w:r>
          <w:r>
            <w:tab/>
          </w:r>
          <w:r>
            <w:fldChar w:fldCharType="begin"/>
          </w:r>
          <w:r>
            <w:instrText xml:space="preserve"> PAGEREF _Toc17262 \h </w:instrText>
          </w:r>
          <w:r>
            <w:fldChar w:fldCharType="separate"/>
          </w:r>
          <w:r>
            <w:t>22</w:t>
          </w:r>
          <w:r>
            <w:fldChar w:fldCharType="end"/>
          </w:r>
          <w:r>
            <w:rPr>
              <w:rFonts w:hint="default" w:ascii="Times New Roman" w:hAnsi="Times New Roman" w:cs="Times New Roman"/>
              <w:szCs w:val="32"/>
              <w:lang w:val="en-US" w:eastAsia="zh-CN"/>
            </w:rPr>
            <w:fldChar w:fldCharType="end"/>
          </w:r>
        </w:p>
        <w:p>
          <w:pPr>
            <w:bidi w:val="0"/>
            <w:rPr>
              <w:rFonts w:hint="default"/>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szCs w:val="32"/>
              <w:lang w:val="en-US" w:eastAsia="zh-CN"/>
            </w:rPr>
            <w:fldChar w:fldCharType="end"/>
          </w:r>
        </w:p>
      </w:sdtContent>
    </w:sdt>
    <w:p>
      <w:pPr>
        <w:pStyle w:val="2"/>
        <w:bidi w:val="0"/>
        <w:rPr>
          <w:rFonts w:hint="default"/>
        </w:rPr>
      </w:pPr>
      <w:bookmarkStart w:id="1" w:name="_Toc15020"/>
      <w:r>
        <w:rPr>
          <w:rFonts w:hint="default"/>
          <w:lang w:eastAsia="zh-CN"/>
        </w:rPr>
        <w:t>项目</w:t>
      </w:r>
      <w:r>
        <w:rPr>
          <w:rFonts w:hint="default"/>
          <w:lang w:val="en-US" w:eastAsia="zh-CN"/>
        </w:rPr>
        <w:t>概况</w:t>
      </w:r>
      <w:bookmarkEnd w:id="1"/>
    </w:p>
    <w:p>
      <w:pPr>
        <w:bidi w:val="0"/>
        <w:rPr>
          <w:rFonts w:hint="default"/>
          <w:lang w:val="en-US" w:eastAsia="zh-CN"/>
        </w:rPr>
      </w:pPr>
      <w:bookmarkStart w:id="2" w:name="_Toc16063"/>
      <w:bookmarkStart w:id="3" w:name="_Toc15301"/>
      <w:bookmarkStart w:id="4" w:name="_Toc9777"/>
      <w:bookmarkStart w:id="5" w:name="_Toc13729"/>
      <w:bookmarkStart w:id="6" w:name="_Toc497001430"/>
      <w:r>
        <w:rPr>
          <w:rFonts w:hint="eastAsia"/>
          <w:lang w:val="en-US" w:eastAsia="zh-CN"/>
        </w:rPr>
        <w:t>新乡市鸿鹄电子科技有限公司位于河南省新乡市凤泉区新乡市新能源电池专业园区，投资15000万元建设“新乡市鸿鹄电子科技有限公司年产50亿只密封圈项目”</w:t>
      </w:r>
      <w:bookmarkStart w:id="7" w:name="_Hlk496987392"/>
      <w:r>
        <w:rPr>
          <w:rFonts w:hint="eastAsia"/>
          <w:lang w:val="en-US" w:eastAsia="zh-CN"/>
        </w:rPr>
        <w:t>。公司于2023年5月委托新乡市世青环境技术有限公司编制完成《新乡市鸿鹄电子科技有限公司年产50亿只密封圈项目环境影响报告表》，该项目于2023年8月22日经新乡市生态环境局凤泉分局予以批复，批复文号为：凤环审[2023]15号。该项目环评中要求分为两期建设，一期产能为33.3亿只密封圈/年、二期产能为16.7亿只密封圈/年。由于资金及市场情况，本次一期项目按照16.7亿只密封圈/年的产能进行建设，项目（一期）于2023年9开工建设，2024年1月10日竣工，于2024年1月29日申请取得固定污染源排污登记表，登记编号为91410721MA481UKY4N001X。</w:t>
      </w:r>
    </w:p>
    <w:bookmarkEnd w:id="7"/>
    <w:p>
      <w:pPr>
        <w:bidi w:val="0"/>
        <w:rPr>
          <w:rFonts w:hint="default"/>
          <w:lang w:val="en-US" w:eastAsia="zh-CN"/>
        </w:rPr>
      </w:pPr>
      <w:r>
        <w:rPr>
          <w:rFonts w:hint="eastAsia"/>
          <w:lang w:val="en-US" w:eastAsia="zh-CN"/>
        </w:rPr>
        <w:t>2024年1月10日新乡市鸿鹄电子科技有限公司组织技术人员及相关负责人对年产50亿只密封圈项目（一期）进行了现场勘查，验收工作启动，2024年1月11日</w:t>
      </w:r>
      <w:r>
        <w:rPr>
          <w:rFonts w:hint="default"/>
        </w:rPr>
        <w:t>开始</w:t>
      </w:r>
      <w:r>
        <w:rPr>
          <w:rFonts w:hint="eastAsia"/>
          <w:lang w:val="en-US" w:eastAsia="zh-CN"/>
        </w:rPr>
        <w:t>设备及环保设施</w:t>
      </w:r>
      <w:r>
        <w:rPr>
          <w:rFonts w:hint="default"/>
        </w:rPr>
        <w:t>调试</w:t>
      </w:r>
      <w:r>
        <w:rPr>
          <w:rFonts w:hint="eastAsia"/>
          <w:lang w:eastAsia="zh-CN"/>
        </w:rPr>
        <w:t>，</w:t>
      </w:r>
      <w:r>
        <w:rPr>
          <w:rFonts w:hint="eastAsia"/>
          <w:lang w:val="en-US" w:eastAsia="zh-CN"/>
        </w:rPr>
        <w:t>设备及环保设施调试稳</w:t>
      </w:r>
      <w:r>
        <w:rPr>
          <w:rFonts w:hint="eastAsia"/>
          <w:color w:val="auto"/>
          <w:lang w:val="en-US" w:eastAsia="zh-CN"/>
        </w:rPr>
        <w:t>定后于2024年1月30日编制</w:t>
      </w:r>
      <w:r>
        <w:rPr>
          <w:rFonts w:hint="eastAsia"/>
          <w:lang w:val="en-US" w:eastAsia="zh-CN"/>
        </w:rPr>
        <w:t>验收检测方案</w:t>
      </w:r>
      <w:r>
        <w:rPr>
          <w:rFonts w:hint="eastAsia"/>
          <w:lang w:eastAsia="zh-CN"/>
        </w:rPr>
        <w:t>，</w:t>
      </w:r>
      <w:r>
        <w:rPr>
          <w:rFonts w:hint="eastAsia"/>
          <w:lang w:val="en-US" w:eastAsia="zh-CN"/>
        </w:rPr>
        <w:t>并委</w:t>
      </w:r>
      <w:r>
        <w:rPr>
          <w:rFonts w:hint="eastAsia"/>
          <w:color w:val="auto"/>
          <w:lang w:val="en-US" w:eastAsia="zh-CN"/>
        </w:rPr>
        <w:t>托</w:t>
      </w:r>
      <w:r>
        <w:rPr>
          <w:rFonts w:hint="eastAsia"/>
          <w:color w:val="auto"/>
          <w:lang w:eastAsia="zh-CN"/>
        </w:rPr>
        <w:t>河南鑫成环测检测技术有限公司</w:t>
      </w:r>
      <w:r>
        <w:rPr>
          <w:rFonts w:hint="eastAsia"/>
          <w:color w:val="auto"/>
          <w:lang w:val="en-US" w:eastAsia="zh-CN"/>
        </w:rPr>
        <w:t>进行了现场检测</w:t>
      </w:r>
      <w:r>
        <w:rPr>
          <w:rFonts w:hint="eastAsia"/>
          <w:color w:val="auto"/>
          <w:lang w:eastAsia="zh-CN"/>
        </w:rPr>
        <w:t>。</w:t>
      </w:r>
      <w:r>
        <w:rPr>
          <w:rFonts w:hint="default"/>
          <w:color w:val="auto"/>
          <w:lang w:val="en-US" w:eastAsia="zh-CN"/>
        </w:rPr>
        <w:t>依据相关技术规范、监测报</w:t>
      </w:r>
      <w:r>
        <w:rPr>
          <w:rFonts w:hint="default"/>
          <w:lang w:val="en-US" w:eastAsia="zh-CN"/>
        </w:rPr>
        <w:t>告编制完成了本项目竣工环境保护验收监测报告。</w:t>
      </w:r>
    </w:p>
    <w:p>
      <w:pPr>
        <w:pStyle w:val="2"/>
        <w:bidi w:val="0"/>
        <w:rPr>
          <w:rFonts w:hint="default"/>
          <w:lang w:val="en-US" w:eastAsia="zh-CN"/>
        </w:rPr>
      </w:pPr>
      <w:bookmarkStart w:id="8" w:name="_Toc7428"/>
      <w:bookmarkStart w:id="9" w:name="_Toc28672"/>
      <w:r>
        <w:rPr>
          <w:rFonts w:hint="default"/>
          <w:lang w:val="en-US" w:eastAsia="zh-CN"/>
        </w:rPr>
        <w:t>验收依据</w:t>
      </w:r>
      <w:bookmarkEnd w:id="2"/>
      <w:bookmarkEnd w:id="3"/>
      <w:bookmarkEnd w:id="4"/>
      <w:bookmarkEnd w:id="5"/>
      <w:bookmarkEnd w:id="6"/>
      <w:bookmarkEnd w:id="8"/>
      <w:bookmarkEnd w:id="9"/>
    </w:p>
    <w:p>
      <w:pPr>
        <w:pStyle w:val="3"/>
        <w:bidi w:val="0"/>
        <w:rPr>
          <w:rFonts w:hint="default"/>
        </w:rPr>
      </w:pPr>
      <w:bookmarkStart w:id="10" w:name="_Toc26645"/>
      <w:bookmarkStart w:id="11" w:name="_Toc10324"/>
      <w:bookmarkStart w:id="12" w:name="_Toc29220"/>
      <w:bookmarkStart w:id="13" w:name="_Toc10437"/>
      <w:bookmarkStart w:id="14" w:name="_Toc2086"/>
      <w:bookmarkStart w:id="15" w:name="_Toc3645"/>
      <w:r>
        <w:rPr>
          <w:rFonts w:hint="default"/>
          <w:lang w:val="en-US" w:eastAsia="zh-CN"/>
        </w:rPr>
        <w:t>建</w:t>
      </w:r>
      <w:r>
        <w:rPr>
          <w:rFonts w:hint="default"/>
        </w:rPr>
        <w:t>设项目环境保护相关</w:t>
      </w:r>
      <w:r>
        <w:rPr>
          <w:rFonts w:hint="eastAsia"/>
          <w:lang w:eastAsia="zh-CN"/>
        </w:rPr>
        <w:t>法律法规</w:t>
      </w:r>
      <w:r>
        <w:rPr>
          <w:rFonts w:hint="default"/>
        </w:rPr>
        <w:t>、规章和规范</w:t>
      </w:r>
      <w:bookmarkEnd w:id="10"/>
      <w:bookmarkEnd w:id="11"/>
      <w:bookmarkEnd w:id="12"/>
      <w:bookmarkEnd w:id="13"/>
      <w:bookmarkEnd w:id="14"/>
      <w:bookmarkEnd w:id="15"/>
    </w:p>
    <w:p>
      <w:pPr>
        <w:bidi w:val="0"/>
        <w:rPr>
          <w:rFonts w:hint="default"/>
        </w:rPr>
      </w:pPr>
      <w:r>
        <w:rPr>
          <w:rFonts w:hint="default"/>
        </w:rPr>
        <w:t>（1）《中华人民共和国环境保护法》，（2015年1月1日）；</w:t>
      </w:r>
    </w:p>
    <w:p>
      <w:pPr>
        <w:bidi w:val="0"/>
        <w:rPr>
          <w:rFonts w:hint="default"/>
        </w:rPr>
      </w:pPr>
      <w:r>
        <w:rPr>
          <w:rFonts w:hint="default"/>
        </w:rPr>
        <w:t>（2）《中华人民共和国环境影响评价法》，（201</w:t>
      </w:r>
      <w:r>
        <w:rPr>
          <w:rFonts w:hint="eastAsia"/>
          <w:lang w:val="en-US" w:eastAsia="zh-CN"/>
        </w:rPr>
        <w:t>8</w:t>
      </w:r>
      <w:r>
        <w:rPr>
          <w:rFonts w:hint="default"/>
        </w:rPr>
        <w:t>年</w:t>
      </w:r>
      <w:r>
        <w:rPr>
          <w:rFonts w:hint="eastAsia"/>
          <w:lang w:val="en-US" w:eastAsia="zh-CN"/>
        </w:rPr>
        <w:t>12</w:t>
      </w:r>
      <w:r>
        <w:rPr>
          <w:rFonts w:hint="default"/>
        </w:rPr>
        <w:t>月</w:t>
      </w:r>
      <w:r>
        <w:rPr>
          <w:rFonts w:hint="eastAsia"/>
          <w:lang w:val="en-US" w:eastAsia="zh-CN"/>
        </w:rPr>
        <w:t>19</w:t>
      </w:r>
      <w:r>
        <w:rPr>
          <w:rFonts w:hint="default"/>
        </w:rPr>
        <w:t>日）；</w:t>
      </w:r>
    </w:p>
    <w:p>
      <w:pPr>
        <w:bidi w:val="0"/>
        <w:rPr>
          <w:rFonts w:hint="default"/>
        </w:rPr>
      </w:pPr>
      <w:r>
        <w:rPr>
          <w:rFonts w:hint="default"/>
        </w:rPr>
        <w:t>（3）《中华人民共和国水污染防治法》</w:t>
      </w:r>
      <w:r>
        <w:rPr>
          <w:rFonts w:hint="eastAsia"/>
          <w:lang w:eastAsia="zh-CN"/>
        </w:rPr>
        <w:t>，</w:t>
      </w:r>
      <w:r>
        <w:rPr>
          <w:rFonts w:hint="default"/>
        </w:rPr>
        <w:t>（20</w:t>
      </w:r>
      <w:r>
        <w:rPr>
          <w:rFonts w:hint="default"/>
          <w:lang w:val="en-US" w:eastAsia="zh-CN"/>
        </w:rPr>
        <w:t>18</w:t>
      </w:r>
      <w:r>
        <w:rPr>
          <w:rFonts w:hint="default"/>
        </w:rPr>
        <w:t>年</w:t>
      </w:r>
      <w:r>
        <w:rPr>
          <w:rFonts w:hint="default"/>
          <w:lang w:val="en-US" w:eastAsia="zh-CN"/>
        </w:rPr>
        <w:t>1</w:t>
      </w:r>
      <w:r>
        <w:rPr>
          <w:rFonts w:hint="default"/>
        </w:rPr>
        <w:t>月1日）；</w:t>
      </w:r>
    </w:p>
    <w:p>
      <w:pPr>
        <w:bidi w:val="0"/>
        <w:rPr>
          <w:rFonts w:hint="default"/>
        </w:rPr>
      </w:pPr>
      <w:r>
        <w:rPr>
          <w:rFonts w:hint="default"/>
        </w:rPr>
        <w:t>（4）《中华人民共和国大气污染防治法》，（201</w:t>
      </w:r>
      <w:r>
        <w:rPr>
          <w:rFonts w:hint="eastAsia"/>
          <w:lang w:val="en-US" w:eastAsia="zh-CN"/>
        </w:rPr>
        <w:t>8</w:t>
      </w:r>
      <w:r>
        <w:rPr>
          <w:rFonts w:hint="default"/>
        </w:rPr>
        <w:t>年1</w:t>
      </w:r>
      <w:r>
        <w:rPr>
          <w:rFonts w:hint="eastAsia"/>
          <w:lang w:val="en-US" w:eastAsia="zh-CN"/>
        </w:rPr>
        <w:t>0</w:t>
      </w:r>
      <w:r>
        <w:rPr>
          <w:rFonts w:hint="default"/>
        </w:rPr>
        <w:t>月</w:t>
      </w:r>
      <w:r>
        <w:rPr>
          <w:rFonts w:hint="eastAsia"/>
          <w:lang w:val="en-US" w:eastAsia="zh-CN"/>
        </w:rPr>
        <w:t>26</w:t>
      </w:r>
      <w:r>
        <w:rPr>
          <w:rFonts w:hint="default"/>
        </w:rPr>
        <w:t>日）；</w:t>
      </w:r>
    </w:p>
    <w:p>
      <w:pPr>
        <w:bidi w:val="0"/>
        <w:rPr>
          <w:rFonts w:hint="default"/>
          <w:lang w:val="en-US" w:eastAsia="zh-CN"/>
        </w:rPr>
      </w:pPr>
      <w:r>
        <w:rPr>
          <w:rFonts w:hint="default"/>
          <w:lang w:val="en-US" w:eastAsia="zh-CN"/>
        </w:rPr>
        <w:t>（</w:t>
      </w:r>
      <w:r>
        <w:rPr>
          <w:rFonts w:hint="eastAsia"/>
          <w:lang w:val="en-US" w:eastAsia="zh-CN"/>
        </w:rPr>
        <w:t>5</w:t>
      </w:r>
      <w:r>
        <w:rPr>
          <w:rFonts w:hint="default"/>
          <w:lang w:val="en-US" w:eastAsia="zh-CN"/>
        </w:rPr>
        <w:t>）《</w:t>
      </w:r>
      <w:r>
        <w:rPr>
          <w:rFonts w:hint="default"/>
        </w:rPr>
        <w:t>中华人民共和国噪声污染防治法</w:t>
      </w:r>
      <w:r>
        <w:rPr>
          <w:rFonts w:hint="default"/>
          <w:lang w:val="en-US" w:eastAsia="zh-CN"/>
        </w:rPr>
        <w:t>》，</w:t>
      </w:r>
      <w:r>
        <w:rPr>
          <w:rFonts w:hint="default"/>
        </w:rPr>
        <w:t>（</w:t>
      </w:r>
      <w:r>
        <w:rPr>
          <w:rFonts w:hint="eastAsia"/>
          <w:lang w:val="en-US" w:eastAsia="zh-CN"/>
        </w:rPr>
        <w:t>2022</w:t>
      </w:r>
      <w:r>
        <w:rPr>
          <w:rFonts w:hint="default"/>
        </w:rPr>
        <w:t>年</w:t>
      </w:r>
      <w:r>
        <w:rPr>
          <w:rFonts w:hint="eastAsia"/>
          <w:lang w:val="en-US" w:eastAsia="zh-CN"/>
        </w:rPr>
        <w:t>6</w:t>
      </w:r>
      <w:r>
        <w:rPr>
          <w:rFonts w:hint="default"/>
        </w:rPr>
        <w:t>月</w:t>
      </w:r>
      <w:r>
        <w:rPr>
          <w:rFonts w:hint="eastAsia"/>
          <w:lang w:val="en-US" w:eastAsia="zh-CN"/>
        </w:rPr>
        <w:t>5</w:t>
      </w:r>
      <w:r>
        <w:rPr>
          <w:rFonts w:hint="default"/>
        </w:rPr>
        <w:t>日）；</w:t>
      </w:r>
    </w:p>
    <w:p>
      <w:pPr>
        <w:bidi w:val="0"/>
        <w:rPr>
          <w:rFonts w:hint="default"/>
        </w:rPr>
      </w:pPr>
      <w:r>
        <w:rPr>
          <w:rFonts w:hint="default"/>
        </w:rPr>
        <w:t>（6）《中华人民共和国固体废物污染环境防治法》，</w:t>
      </w:r>
      <w:r>
        <w:rPr>
          <w:rFonts w:hint="eastAsia"/>
          <w:lang w:eastAsia="zh-CN"/>
        </w:rPr>
        <w:t>（</w:t>
      </w:r>
      <w:r>
        <w:rPr>
          <w:rFonts w:hint="default"/>
        </w:rPr>
        <w:t>20</w:t>
      </w:r>
      <w:r>
        <w:rPr>
          <w:rFonts w:hint="eastAsia"/>
          <w:lang w:val="en-US" w:eastAsia="zh-CN"/>
        </w:rPr>
        <w:t>20</w:t>
      </w:r>
      <w:r>
        <w:rPr>
          <w:rFonts w:hint="default"/>
        </w:rPr>
        <w:t>年</w:t>
      </w:r>
      <w:r>
        <w:rPr>
          <w:rFonts w:hint="eastAsia"/>
          <w:lang w:val="en-US" w:eastAsia="zh-CN"/>
        </w:rPr>
        <w:t>9</w:t>
      </w:r>
      <w:r>
        <w:rPr>
          <w:rFonts w:hint="default"/>
        </w:rPr>
        <w:t>月</w:t>
      </w:r>
      <w:r>
        <w:rPr>
          <w:rFonts w:hint="eastAsia"/>
          <w:lang w:val="en-US" w:eastAsia="zh-CN"/>
        </w:rPr>
        <w:t>1</w:t>
      </w:r>
      <w:r>
        <w:rPr>
          <w:rFonts w:hint="default"/>
        </w:rPr>
        <w:t>日）；</w:t>
      </w:r>
    </w:p>
    <w:p>
      <w:pPr>
        <w:bidi w:val="0"/>
        <w:rPr>
          <w:rFonts w:hint="default"/>
          <w:lang w:eastAsia="zh-CN"/>
        </w:rPr>
      </w:pPr>
      <w:r>
        <w:rPr>
          <w:rFonts w:hint="default"/>
        </w:rPr>
        <w:t>（7）</w:t>
      </w:r>
      <w:r>
        <w:rPr>
          <w:rFonts w:hint="default"/>
          <w:lang w:eastAsia="zh-CN"/>
        </w:rPr>
        <w:t>《建设项目环境保护管理条例》，（2017年10月1日）；</w:t>
      </w:r>
    </w:p>
    <w:p>
      <w:pPr>
        <w:pStyle w:val="3"/>
        <w:bidi w:val="0"/>
        <w:rPr>
          <w:rFonts w:hint="default"/>
          <w:lang w:eastAsia="zh-CN"/>
        </w:rPr>
      </w:pPr>
      <w:bookmarkStart w:id="16" w:name="_Toc16885"/>
      <w:bookmarkStart w:id="17" w:name="_Toc27909"/>
      <w:bookmarkStart w:id="18" w:name="_Toc27109"/>
      <w:bookmarkStart w:id="19" w:name="_Toc14999"/>
      <w:bookmarkStart w:id="20" w:name="_Toc1495"/>
      <w:bookmarkStart w:id="21" w:name="_Toc26122"/>
      <w:bookmarkStart w:id="22" w:name="_Toc497001433"/>
      <w:r>
        <w:rPr>
          <w:rFonts w:hint="default"/>
          <w:lang w:val="en-US" w:eastAsia="zh-CN"/>
        </w:rPr>
        <w:t>建设项目竣工环境保护验收技术规范</w:t>
      </w:r>
      <w:bookmarkEnd w:id="16"/>
      <w:bookmarkEnd w:id="17"/>
      <w:bookmarkEnd w:id="18"/>
      <w:bookmarkEnd w:id="19"/>
      <w:bookmarkEnd w:id="20"/>
      <w:bookmarkEnd w:id="21"/>
    </w:p>
    <w:p>
      <w:pPr>
        <w:keepNext w:val="0"/>
        <w:keepLines w:val="0"/>
        <w:pageBreakBefore w:val="0"/>
        <w:widowControl w:val="0"/>
        <w:kinsoku/>
        <w:wordWrap/>
        <w:overflowPunct/>
        <w:topLinePunct w:val="0"/>
        <w:autoSpaceDE/>
        <w:autoSpaceDN/>
        <w:bidi w:val="0"/>
        <w:adjustRightInd/>
        <w:snapToGrid w:val="0"/>
        <w:textAlignment w:val="auto"/>
        <w:outlineLvl w:val="9"/>
        <w:rPr>
          <w:rFonts w:hint="default"/>
          <w:lang w:eastAsia="zh-CN"/>
        </w:rPr>
      </w:pPr>
      <w:bookmarkStart w:id="23" w:name="_Toc22184"/>
      <w:bookmarkStart w:id="24" w:name="_Toc7477"/>
      <w:r>
        <w:rPr>
          <w:rFonts w:hint="default"/>
          <w:lang w:eastAsia="zh-CN"/>
        </w:rPr>
        <w:t>（</w:t>
      </w:r>
      <w:r>
        <w:rPr>
          <w:rFonts w:hint="default"/>
          <w:lang w:val="en-US" w:eastAsia="zh-CN"/>
        </w:rPr>
        <w:t>1</w:t>
      </w:r>
      <w:r>
        <w:rPr>
          <w:rFonts w:hint="default"/>
          <w:lang w:eastAsia="zh-CN"/>
        </w:rPr>
        <w:t>）《建设项目竣工环境保护验收暂行办法》；</w:t>
      </w:r>
      <w:bookmarkEnd w:id="23"/>
      <w:bookmarkEnd w:id="24"/>
    </w:p>
    <w:p>
      <w:pPr>
        <w:bidi w:val="0"/>
        <w:rPr>
          <w:rFonts w:hint="default"/>
          <w:lang w:val="en-US" w:eastAsia="zh-CN"/>
        </w:rPr>
      </w:pPr>
      <w:r>
        <w:rPr>
          <w:rFonts w:hint="default"/>
        </w:rPr>
        <w:t>（</w:t>
      </w:r>
      <w:r>
        <w:rPr>
          <w:rFonts w:hint="default"/>
          <w:lang w:val="en-US" w:eastAsia="zh-CN"/>
        </w:rPr>
        <w:t>2</w:t>
      </w:r>
      <w:r>
        <w:rPr>
          <w:rFonts w:hint="default"/>
        </w:rPr>
        <w:t>）《建设项目竣工环境保护验收技术指南 污染影响类》（</w:t>
      </w:r>
      <w:r>
        <w:rPr>
          <w:rFonts w:hint="default"/>
          <w:lang w:eastAsia="zh-CN"/>
        </w:rPr>
        <w:t>生态环境</w:t>
      </w:r>
      <w:r>
        <w:rPr>
          <w:rFonts w:hint="default"/>
        </w:rPr>
        <w:t>部）</w:t>
      </w:r>
    </w:p>
    <w:bookmarkEnd w:id="22"/>
    <w:p>
      <w:pPr>
        <w:pStyle w:val="3"/>
        <w:bidi w:val="0"/>
        <w:rPr>
          <w:rFonts w:hint="default"/>
          <w:lang w:val="en-US" w:eastAsia="zh-CN"/>
        </w:rPr>
      </w:pPr>
      <w:bookmarkStart w:id="25" w:name="_Toc1915"/>
      <w:bookmarkStart w:id="26" w:name="_Toc25388"/>
      <w:bookmarkStart w:id="27" w:name="_Toc14477"/>
      <w:bookmarkStart w:id="28" w:name="_Toc29039"/>
      <w:bookmarkStart w:id="29" w:name="_Toc12042"/>
      <w:bookmarkStart w:id="30" w:name="_Toc16264"/>
      <w:r>
        <w:rPr>
          <w:rFonts w:hint="default"/>
          <w:lang w:val="en-US" w:eastAsia="zh-CN"/>
        </w:rPr>
        <w:t>建设项目环境影响报告书</w:t>
      </w:r>
      <w:r>
        <w:rPr>
          <w:rFonts w:hint="eastAsia"/>
          <w:lang w:val="en-US" w:eastAsia="zh-CN"/>
        </w:rPr>
        <w:t>（表）</w:t>
      </w:r>
      <w:r>
        <w:rPr>
          <w:rFonts w:hint="default"/>
          <w:lang w:val="en-US" w:eastAsia="zh-CN"/>
        </w:rPr>
        <w:t>及审批部门审批决定</w:t>
      </w:r>
      <w:bookmarkEnd w:id="25"/>
      <w:bookmarkEnd w:id="26"/>
      <w:bookmarkEnd w:id="27"/>
      <w:bookmarkEnd w:id="28"/>
      <w:bookmarkEnd w:id="29"/>
      <w:bookmarkEnd w:id="30"/>
    </w:p>
    <w:p>
      <w:pPr>
        <w:bidi w:val="0"/>
        <w:rPr>
          <w:rFonts w:hint="default"/>
        </w:rPr>
      </w:pPr>
      <w:r>
        <w:rPr>
          <w:rFonts w:hint="default"/>
        </w:rPr>
        <w:t>（1）《</w:t>
      </w:r>
      <w:r>
        <w:rPr>
          <w:rFonts w:hint="eastAsia"/>
          <w:lang w:val="en-US" w:eastAsia="zh-CN"/>
        </w:rPr>
        <w:t>新乡市鸿鹄电子科技有限公司年产50亿只密封圈项目环境影响报告表</w:t>
      </w:r>
      <w:r>
        <w:rPr>
          <w:rFonts w:hint="default"/>
          <w:lang w:eastAsia="zh-CN"/>
        </w:rPr>
        <w:t>》（</w:t>
      </w:r>
      <w:r>
        <w:rPr>
          <w:rFonts w:hint="eastAsia"/>
          <w:lang w:val="en-US" w:eastAsia="zh-CN"/>
        </w:rPr>
        <w:t>新乡市世青环境技术有限公司</w:t>
      </w:r>
      <w:r>
        <w:rPr>
          <w:rFonts w:hint="default"/>
        </w:rPr>
        <w:t>，</w:t>
      </w:r>
      <w:r>
        <w:rPr>
          <w:rFonts w:hint="default"/>
          <w:lang w:eastAsia="zh-CN"/>
        </w:rPr>
        <w:t>20</w:t>
      </w:r>
      <w:r>
        <w:rPr>
          <w:rFonts w:hint="eastAsia"/>
          <w:lang w:val="en-US" w:eastAsia="zh-CN"/>
        </w:rPr>
        <w:t>23</w:t>
      </w:r>
      <w:r>
        <w:rPr>
          <w:rFonts w:hint="default"/>
          <w:lang w:eastAsia="zh-CN"/>
        </w:rPr>
        <w:t>年</w:t>
      </w:r>
      <w:r>
        <w:rPr>
          <w:rFonts w:hint="eastAsia"/>
          <w:lang w:val="en-US" w:eastAsia="zh-CN"/>
        </w:rPr>
        <w:t>8</w:t>
      </w:r>
      <w:r>
        <w:rPr>
          <w:rFonts w:hint="default"/>
          <w:lang w:eastAsia="zh-CN"/>
        </w:rPr>
        <w:t>月</w:t>
      </w:r>
      <w:r>
        <w:rPr>
          <w:rFonts w:hint="default"/>
        </w:rPr>
        <w:t>）；</w:t>
      </w:r>
    </w:p>
    <w:p>
      <w:pPr>
        <w:bidi w:val="0"/>
        <w:rPr>
          <w:rFonts w:hint="default"/>
        </w:rPr>
      </w:pPr>
      <w:r>
        <w:rPr>
          <w:rFonts w:hint="default"/>
        </w:rPr>
        <w:t>（2）</w:t>
      </w:r>
      <w:r>
        <w:rPr>
          <w:rFonts w:hint="eastAsia"/>
          <w:lang w:val="en-US" w:eastAsia="zh-CN"/>
        </w:rPr>
        <w:t>新乡市生态环境局凤泉分局</w:t>
      </w:r>
      <w:r>
        <w:rPr>
          <w:rFonts w:hint="default"/>
        </w:rPr>
        <w:t>关于《</w:t>
      </w:r>
      <w:r>
        <w:rPr>
          <w:rFonts w:hint="eastAsia"/>
          <w:lang w:val="en-US" w:eastAsia="zh-CN"/>
        </w:rPr>
        <w:t>新乡市鸿鹄电子科技有限公司年产50亿只密封圈项目环境影响报告表</w:t>
      </w:r>
      <w:r>
        <w:rPr>
          <w:rFonts w:hint="default"/>
        </w:rPr>
        <w:t>》的</w:t>
      </w:r>
      <w:r>
        <w:rPr>
          <w:rFonts w:hint="default"/>
          <w:lang w:eastAsia="zh-CN"/>
        </w:rPr>
        <w:t>批复</w:t>
      </w:r>
      <w:r>
        <w:rPr>
          <w:rFonts w:hint="default"/>
        </w:rPr>
        <w:t>，</w:t>
      </w:r>
      <w:r>
        <w:rPr>
          <w:rFonts w:hint="eastAsia"/>
          <w:lang w:val="en-US" w:eastAsia="zh-CN"/>
        </w:rPr>
        <w:t>凤环审[2023]15号</w:t>
      </w:r>
      <w:r>
        <w:rPr>
          <w:rFonts w:hint="default"/>
        </w:rPr>
        <w:t>；</w:t>
      </w:r>
    </w:p>
    <w:p>
      <w:pPr>
        <w:pStyle w:val="3"/>
        <w:bidi w:val="0"/>
        <w:rPr>
          <w:rFonts w:hint="eastAsia"/>
          <w:lang w:eastAsia="zh-CN"/>
        </w:rPr>
      </w:pPr>
      <w:bookmarkStart w:id="31" w:name="_Toc26935"/>
      <w:bookmarkStart w:id="32" w:name="_Toc26380"/>
      <w:r>
        <w:rPr>
          <w:rFonts w:hint="eastAsia"/>
          <w:lang w:val="en-US" w:eastAsia="zh-CN"/>
        </w:rPr>
        <w:t>其他</w:t>
      </w:r>
      <w:r>
        <w:rPr>
          <w:rFonts w:hint="eastAsia"/>
          <w:lang w:eastAsia="zh-CN"/>
        </w:rPr>
        <w:t>相关文件</w:t>
      </w:r>
      <w:bookmarkEnd w:id="31"/>
      <w:bookmarkEnd w:id="32"/>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新乡市鸿鹄电子科技有限公司</w:t>
      </w:r>
      <w:r>
        <w:rPr>
          <w:rFonts w:hint="eastAsia"/>
          <w:color w:val="000000" w:themeColor="text1"/>
          <w:lang w:val="en-US" w:eastAsia="zh-CN"/>
          <w14:textFill>
            <w14:solidFill>
              <w14:schemeClr w14:val="tx1"/>
            </w14:solidFill>
          </w14:textFill>
        </w:rPr>
        <w:t>验收</w:t>
      </w:r>
      <w:r>
        <w:rPr>
          <w:rFonts w:hint="default"/>
          <w:color w:val="000000" w:themeColor="text1"/>
          <w:lang w:val="en-US" w:eastAsia="zh-CN"/>
          <w14:textFill>
            <w14:solidFill>
              <w14:schemeClr w14:val="tx1"/>
            </w14:solidFill>
          </w14:textFill>
        </w:rPr>
        <w:t>检测报告》，</w:t>
      </w:r>
      <w:r>
        <w:rPr>
          <w:rFonts w:hint="eastAsia"/>
          <w:color w:val="000000" w:themeColor="text1"/>
          <w:lang w:eastAsia="zh-CN"/>
          <w14:textFill>
            <w14:solidFill>
              <w14:schemeClr w14:val="tx1"/>
            </w14:solidFill>
          </w14:textFill>
        </w:rPr>
        <w:t>河南鑫成环测检测技术有限公司</w:t>
      </w:r>
      <w:r>
        <w:rPr>
          <w:rFonts w:hint="default"/>
          <w:color w:val="000000" w:themeColor="text1"/>
          <w:lang w:val="en-US" w:eastAsia="zh-CN"/>
          <w14:textFill>
            <w14:solidFill>
              <w14:schemeClr w14:val="tx1"/>
            </w14:solidFill>
          </w14:textFill>
        </w:rPr>
        <w:t>，</w:t>
      </w:r>
      <w:r>
        <w:rPr>
          <w:rFonts w:hint="eastAsia"/>
          <w:color w:val="000000" w:themeColor="text1"/>
          <w:lang w:val="en-US" w:eastAsia="zh-CN"/>
          <w14:textFill>
            <w14:solidFill>
              <w14:schemeClr w14:val="tx1"/>
            </w14:solidFill>
          </w14:textFill>
        </w:rPr>
        <w:t>2024</w:t>
      </w:r>
      <w:r>
        <w:rPr>
          <w:rFonts w:hint="default"/>
          <w:color w:val="000000" w:themeColor="text1"/>
          <w:lang w:val="en-US" w:eastAsia="zh-CN"/>
          <w14:textFill>
            <w14:solidFill>
              <w14:schemeClr w14:val="tx1"/>
            </w14:solidFill>
          </w14:textFill>
        </w:rPr>
        <w:t>年</w:t>
      </w:r>
      <w:r>
        <w:rPr>
          <w:rFonts w:hint="eastAsia"/>
          <w:color w:val="000000" w:themeColor="text1"/>
          <w:lang w:val="en-US" w:eastAsia="zh-CN"/>
          <w14:textFill>
            <w14:solidFill>
              <w14:schemeClr w14:val="tx1"/>
            </w14:solidFill>
          </w14:textFill>
        </w:rPr>
        <w:t>02</w:t>
      </w:r>
      <w:r>
        <w:rPr>
          <w:rFonts w:hint="default"/>
          <w:color w:val="000000" w:themeColor="text1"/>
          <w:lang w:val="en-US" w:eastAsia="zh-CN"/>
          <w14:textFill>
            <w14:solidFill>
              <w14:schemeClr w14:val="tx1"/>
            </w14:solidFill>
          </w14:textFill>
        </w:rPr>
        <w:t>月</w:t>
      </w:r>
      <w:r>
        <w:rPr>
          <w:rFonts w:hint="eastAsia"/>
          <w:color w:val="000000" w:themeColor="text1"/>
          <w:lang w:val="en-US" w:eastAsia="zh-CN"/>
          <w14:textFill>
            <w14:solidFill>
              <w14:schemeClr w14:val="tx1"/>
            </w14:solidFill>
          </w14:textFill>
        </w:rPr>
        <w:t>26</w:t>
      </w:r>
      <w:r>
        <w:rPr>
          <w:rFonts w:hint="default"/>
          <w:color w:val="000000" w:themeColor="text1"/>
          <w:lang w:val="en-US" w:eastAsia="zh-CN"/>
          <w14:textFill>
            <w14:solidFill>
              <w14:schemeClr w14:val="tx1"/>
            </w14:solidFill>
          </w14:textFill>
        </w:rPr>
        <w:t>日；</w:t>
      </w:r>
    </w:p>
    <w:p>
      <w:pPr>
        <w:bidi w:val="0"/>
        <w:rPr>
          <w:rFonts w:hint="eastAsia"/>
          <w:lang w:eastAsia="zh-CN"/>
        </w:rPr>
      </w:pPr>
      <w:bookmarkStart w:id="33" w:name="_Toc31196"/>
      <w:bookmarkStart w:id="34" w:name="_Toc8237"/>
      <w:r>
        <w:rPr>
          <w:rFonts w:hint="default"/>
        </w:rPr>
        <w:t>（2）</w:t>
      </w:r>
      <w:r>
        <w:rPr>
          <w:rFonts w:hint="default"/>
          <w:lang w:val="en-US" w:eastAsia="zh-CN"/>
        </w:rPr>
        <w:t>排污单位名称：</w:t>
      </w:r>
      <w:r>
        <w:rPr>
          <w:rFonts w:hint="eastAsia"/>
          <w:lang w:eastAsia="zh-CN"/>
        </w:rPr>
        <w:t>新乡市鸿鹄电子科技有限公司</w:t>
      </w:r>
      <w:r>
        <w:rPr>
          <w:rFonts w:hint="eastAsia"/>
          <w:lang w:val="en-US" w:eastAsia="zh-CN"/>
        </w:rPr>
        <w:t>，</w:t>
      </w:r>
      <w:r>
        <w:rPr>
          <w:rFonts w:hint="default"/>
          <w:lang w:val="en-US" w:eastAsia="zh-CN"/>
        </w:rPr>
        <w:t>许可证编号：</w:t>
      </w:r>
      <w:r>
        <w:rPr>
          <w:rFonts w:hint="eastAsia"/>
          <w:lang w:val="en-US" w:eastAsia="zh-CN"/>
        </w:rPr>
        <w:t>91410721MA481UKY4N001X</w:t>
      </w:r>
      <w:r>
        <w:rPr>
          <w:rFonts w:hint="default"/>
          <w:lang w:val="en-US" w:eastAsia="zh-CN"/>
        </w:rPr>
        <w:t>；</w:t>
      </w:r>
      <w:r>
        <w:rPr>
          <w:rFonts w:hint="eastAsia"/>
          <w:lang w:val="en-US" w:eastAsia="zh-CN"/>
        </w:rPr>
        <w:t>管理类别：登记管理；</w:t>
      </w:r>
      <w:r>
        <w:rPr>
          <w:rFonts w:hint="default"/>
          <w:lang w:val="en-US" w:eastAsia="zh-CN"/>
        </w:rPr>
        <w:t>有效期：202</w:t>
      </w:r>
      <w:r>
        <w:rPr>
          <w:rFonts w:hint="eastAsia"/>
          <w:lang w:val="en-US" w:eastAsia="zh-CN"/>
        </w:rPr>
        <w:t>4</w:t>
      </w:r>
      <w:r>
        <w:rPr>
          <w:rFonts w:hint="default"/>
          <w:lang w:val="en-US" w:eastAsia="zh-CN"/>
        </w:rPr>
        <w:t>年</w:t>
      </w:r>
      <w:r>
        <w:rPr>
          <w:rFonts w:hint="eastAsia"/>
          <w:lang w:val="en-US" w:eastAsia="zh-CN"/>
        </w:rPr>
        <w:t>01</w:t>
      </w:r>
      <w:r>
        <w:rPr>
          <w:rFonts w:hint="default"/>
          <w:lang w:val="en-US" w:eastAsia="zh-CN"/>
        </w:rPr>
        <w:t>月</w:t>
      </w:r>
      <w:r>
        <w:rPr>
          <w:rFonts w:hint="eastAsia"/>
          <w:lang w:val="en-US" w:eastAsia="zh-CN"/>
        </w:rPr>
        <w:t>29</w:t>
      </w:r>
      <w:r>
        <w:rPr>
          <w:rFonts w:hint="default"/>
          <w:lang w:val="en-US" w:eastAsia="zh-CN"/>
        </w:rPr>
        <w:t>日至202</w:t>
      </w:r>
      <w:r>
        <w:rPr>
          <w:rFonts w:hint="eastAsia"/>
          <w:lang w:val="en-US" w:eastAsia="zh-CN"/>
        </w:rPr>
        <w:t>9</w:t>
      </w:r>
      <w:r>
        <w:rPr>
          <w:rFonts w:hint="default"/>
          <w:lang w:val="en-US" w:eastAsia="zh-CN"/>
        </w:rPr>
        <w:t>年</w:t>
      </w:r>
      <w:r>
        <w:rPr>
          <w:rFonts w:hint="eastAsia"/>
          <w:lang w:val="en-US" w:eastAsia="zh-CN"/>
        </w:rPr>
        <w:t>01</w:t>
      </w:r>
      <w:r>
        <w:rPr>
          <w:rFonts w:hint="default"/>
          <w:lang w:val="en-US" w:eastAsia="zh-CN"/>
        </w:rPr>
        <w:t>月</w:t>
      </w:r>
      <w:r>
        <w:rPr>
          <w:rFonts w:hint="eastAsia"/>
          <w:lang w:val="en-US" w:eastAsia="zh-CN"/>
        </w:rPr>
        <w:t>28</w:t>
      </w:r>
      <w:r>
        <w:rPr>
          <w:rFonts w:hint="default"/>
          <w:lang w:val="en-US" w:eastAsia="zh-CN"/>
        </w:rPr>
        <w:t>日。</w:t>
      </w:r>
      <w:bookmarkEnd w:id="33"/>
      <w:bookmarkEnd w:id="34"/>
    </w:p>
    <w:p>
      <w:pPr>
        <w:pStyle w:val="2"/>
        <w:bidi w:val="0"/>
        <w:rPr>
          <w:rFonts w:hint="default"/>
        </w:rPr>
      </w:pPr>
      <w:bookmarkStart w:id="35" w:name="_Toc18240"/>
      <w:bookmarkStart w:id="36" w:name="_Toc2887"/>
      <w:bookmarkStart w:id="37" w:name="_Toc27102"/>
      <w:bookmarkStart w:id="38" w:name="_Toc6274"/>
      <w:bookmarkStart w:id="39" w:name="_Toc12647"/>
      <w:bookmarkStart w:id="40" w:name="_Toc4213"/>
      <w:r>
        <w:rPr>
          <w:rFonts w:hint="eastAsia"/>
          <w:lang w:eastAsia="zh-CN"/>
        </w:rPr>
        <w:t>项目</w:t>
      </w:r>
      <w:r>
        <w:rPr>
          <w:rFonts w:hint="default"/>
          <w:lang w:eastAsia="zh-CN"/>
        </w:rPr>
        <w:t>建设情况</w:t>
      </w:r>
      <w:bookmarkEnd w:id="35"/>
      <w:bookmarkEnd w:id="36"/>
      <w:bookmarkEnd w:id="37"/>
      <w:bookmarkEnd w:id="38"/>
      <w:bookmarkEnd w:id="39"/>
      <w:bookmarkEnd w:id="40"/>
    </w:p>
    <w:p>
      <w:pPr>
        <w:pStyle w:val="3"/>
        <w:bidi w:val="0"/>
        <w:rPr>
          <w:rFonts w:hint="default"/>
          <w:lang w:val="en-US" w:eastAsia="zh-CN"/>
        </w:rPr>
      </w:pPr>
      <w:bookmarkStart w:id="41" w:name="_Toc24121"/>
      <w:bookmarkStart w:id="42" w:name="_Toc2760"/>
      <w:bookmarkStart w:id="43" w:name="_Toc11671"/>
      <w:bookmarkStart w:id="44" w:name="_Toc16673"/>
      <w:bookmarkStart w:id="45" w:name="_Toc1940"/>
      <w:bookmarkStart w:id="46" w:name="_Toc16522"/>
      <w:bookmarkStart w:id="47" w:name="_Toc497001435"/>
      <w:r>
        <w:rPr>
          <w:rFonts w:hint="default"/>
          <w:lang w:val="en-US" w:eastAsia="zh-CN"/>
        </w:rPr>
        <w:t>地理位置及平面布置</w:t>
      </w:r>
      <w:bookmarkEnd w:id="41"/>
      <w:bookmarkEnd w:id="42"/>
      <w:bookmarkEnd w:id="43"/>
      <w:bookmarkEnd w:id="44"/>
      <w:bookmarkEnd w:id="45"/>
      <w:bookmarkEnd w:id="46"/>
    </w:p>
    <w:p>
      <w:pPr>
        <w:bidi w:val="0"/>
      </w:pPr>
      <w:r>
        <w:rPr>
          <w:rFonts w:hint="eastAsia"/>
        </w:rPr>
        <w:t>本</w:t>
      </w:r>
      <w:r>
        <w:rPr>
          <w:rFonts w:hint="eastAsia"/>
          <w:lang w:val="en-US" w:eastAsia="zh-CN"/>
        </w:rPr>
        <w:t>公司</w:t>
      </w:r>
      <w:r>
        <w:rPr>
          <w:rFonts w:hint="eastAsia"/>
        </w:rPr>
        <w:t>位于</w:t>
      </w:r>
      <w:r>
        <w:rPr>
          <w:rFonts w:hint="eastAsia"/>
          <w:lang w:val="en-US" w:eastAsia="zh-CN"/>
        </w:rPr>
        <w:t>河南省新乡市凤泉区新乡市新能源电池专业园区</w:t>
      </w:r>
      <w:r>
        <w:rPr>
          <w:rFonts w:hint="eastAsia"/>
        </w:rPr>
        <w:t>，</w:t>
      </w:r>
      <w:r>
        <w:t>项目中心坐标：东经</w:t>
      </w:r>
      <w:r>
        <w:rPr>
          <w:rFonts w:hint="eastAsia"/>
          <w:lang w:eastAsia="zh-CN"/>
        </w:rPr>
        <w:t>11</w:t>
      </w:r>
      <w:r>
        <w:rPr>
          <w:rFonts w:hint="eastAsia"/>
          <w:lang w:val="en-US" w:eastAsia="zh-CN"/>
        </w:rPr>
        <w:t>3.874822</w:t>
      </w:r>
      <w:r>
        <w:rPr>
          <w:rFonts w:hint="eastAsia"/>
          <w:lang w:eastAsia="zh-CN"/>
        </w:rPr>
        <w:t>°</w:t>
      </w:r>
      <w:r>
        <w:t>，北纬</w:t>
      </w:r>
      <w:r>
        <w:rPr>
          <w:rFonts w:hint="eastAsia"/>
          <w:lang w:eastAsia="zh-CN"/>
        </w:rPr>
        <w:t>35.</w:t>
      </w:r>
      <w:r>
        <w:rPr>
          <w:rFonts w:hint="eastAsia"/>
          <w:lang w:val="en-US" w:eastAsia="zh-CN"/>
        </w:rPr>
        <w:t>379879</w:t>
      </w:r>
      <w:r>
        <w:rPr>
          <w:rFonts w:hint="eastAsia"/>
          <w:lang w:eastAsia="zh-CN"/>
        </w:rPr>
        <w:t>°，</w:t>
      </w:r>
      <w:r>
        <w:rPr>
          <w:rFonts w:hint="eastAsia"/>
        </w:rPr>
        <w:t>厂界外500米内不存在大气环境保护目标，50米范围内不存在声环境保护目标，500米范围内不存在地下水环境保护目标。</w:t>
      </w:r>
    </w:p>
    <w:p>
      <w:pPr>
        <w:bidi w:val="0"/>
        <w:rPr>
          <w:rFonts w:hint="eastAsia" w:eastAsia="宋体"/>
          <w:color w:val="auto"/>
          <w:lang w:eastAsia="zh-CN"/>
        </w:rPr>
      </w:pPr>
      <w:r>
        <w:rPr>
          <w:rFonts w:hint="default"/>
          <w:color w:val="auto"/>
          <w:lang w:eastAsia="zh-CN"/>
        </w:rPr>
        <w:t>项</w:t>
      </w:r>
      <w:r>
        <w:rPr>
          <w:rFonts w:hint="default"/>
          <w:color w:val="auto"/>
        </w:rPr>
        <w:t>目</w:t>
      </w:r>
      <w:r>
        <w:rPr>
          <w:rFonts w:hint="default"/>
          <w:color w:val="auto"/>
          <w:lang w:eastAsia="zh-CN"/>
        </w:rPr>
        <w:t>地理位置</w:t>
      </w:r>
      <w:r>
        <w:rPr>
          <w:rFonts w:hint="default"/>
          <w:color w:val="auto"/>
        </w:rPr>
        <w:t>见</w:t>
      </w:r>
      <w:r>
        <w:rPr>
          <w:rFonts w:hint="eastAsia"/>
          <w:color w:val="auto"/>
          <w:lang w:val="en-US" w:eastAsia="zh-CN"/>
        </w:rPr>
        <w:t>下</w:t>
      </w:r>
      <w:r>
        <w:rPr>
          <w:rFonts w:hint="default"/>
          <w:color w:val="auto"/>
        </w:rPr>
        <w:t>图</w:t>
      </w:r>
      <w:r>
        <w:rPr>
          <w:rFonts w:hint="eastAsia"/>
          <w:color w:val="auto"/>
          <w:lang w:eastAsia="zh-CN"/>
        </w:rPr>
        <w:t>：</w:t>
      </w:r>
    </w:p>
    <w:p>
      <w:pPr>
        <w:pStyle w:val="21"/>
        <w:bidi w:val="0"/>
        <w:rPr>
          <w:rFonts w:hint="default"/>
          <w:lang w:eastAsia="zh-CN"/>
        </w:rPr>
      </w:pPr>
      <w:r>
        <w:drawing>
          <wp:inline distT="0" distB="0" distL="114300" distR="114300">
            <wp:extent cx="5264150" cy="2700020"/>
            <wp:effectExtent l="9525" t="9525" r="22225"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64150" cy="2700020"/>
                    </a:xfrm>
                    <a:prstGeom prst="rect">
                      <a:avLst/>
                    </a:prstGeom>
                    <a:noFill/>
                    <a:ln>
                      <a:solidFill>
                        <a:schemeClr val="tx1"/>
                      </a:solidFill>
                    </a:ln>
                  </pic:spPr>
                </pic:pic>
              </a:graphicData>
            </a:graphic>
          </wp:inline>
        </w:drawing>
      </w:r>
    </w:p>
    <w:p>
      <w:pPr>
        <w:pStyle w:val="24"/>
        <w:bidi w:val="0"/>
        <w:rPr>
          <w:rFonts w:hint="default"/>
          <w:lang w:val="en-US" w:eastAsia="zh-CN"/>
        </w:rPr>
      </w:pPr>
      <w:r>
        <w:rPr>
          <w:rFonts w:hint="default"/>
          <w:lang w:val="en-US" w:eastAsia="zh-CN"/>
        </w:rPr>
        <w:t xml:space="preserve">      项目地理位置示意图</w:t>
      </w:r>
      <w:bookmarkEnd w:id="47"/>
      <w:bookmarkStart w:id="48" w:name="_Toc497001439"/>
    </w:p>
    <w:p>
      <w:pPr>
        <w:pStyle w:val="3"/>
        <w:bidi w:val="0"/>
        <w:rPr>
          <w:rFonts w:hint="default"/>
        </w:rPr>
      </w:pPr>
      <w:bookmarkStart w:id="49" w:name="_Toc25187"/>
      <w:bookmarkStart w:id="50" w:name="_Toc16919"/>
      <w:bookmarkStart w:id="51" w:name="_Toc13649"/>
      <w:bookmarkStart w:id="52" w:name="_Toc9712"/>
      <w:bookmarkStart w:id="53" w:name="_Toc2548"/>
      <w:bookmarkStart w:id="54" w:name="_Toc18124"/>
      <w:r>
        <w:rPr>
          <w:rFonts w:hint="default"/>
        </w:rPr>
        <w:t>建设内容</w:t>
      </w:r>
      <w:bookmarkEnd w:id="48"/>
      <w:bookmarkEnd w:id="49"/>
      <w:bookmarkEnd w:id="50"/>
      <w:bookmarkEnd w:id="51"/>
      <w:bookmarkEnd w:id="52"/>
      <w:bookmarkEnd w:id="53"/>
      <w:bookmarkEnd w:id="54"/>
    </w:p>
    <w:p>
      <w:pPr>
        <w:bidi w:val="0"/>
        <w:rPr>
          <w:rFonts w:hint="eastAsia"/>
        </w:rPr>
      </w:pPr>
      <w:bookmarkStart w:id="55" w:name="_Toc496979004"/>
      <w:bookmarkStart w:id="56" w:name="_Toc497001440"/>
      <w:r>
        <w:rPr>
          <w:rFonts w:hint="eastAsia"/>
          <w:lang w:eastAsia="zh-CN"/>
        </w:rPr>
        <w:t>（</w:t>
      </w:r>
      <w:r>
        <w:rPr>
          <w:rFonts w:hint="eastAsia"/>
          <w:lang w:val="en-US" w:eastAsia="zh-CN"/>
        </w:rPr>
        <w:t>1</w:t>
      </w:r>
      <w:r>
        <w:rPr>
          <w:rFonts w:hint="eastAsia"/>
          <w:lang w:eastAsia="zh-CN"/>
        </w:rPr>
        <w:t>）项目</w:t>
      </w:r>
      <w:r>
        <w:rPr>
          <w:rFonts w:hint="eastAsia"/>
        </w:rPr>
        <w:t>基本概况与环评一致性分析见下表。</w:t>
      </w:r>
    </w:p>
    <w:p>
      <w:pPr>
        <w:pStyle w:val="20"/>
        <w:bidi w:val="0"/>
        <w:rPr>
          <w:rFonts w:hint="eastAsia"/>
          <w:lang w:val="en-US" w:eastAsia="zh-CN"/>
        </w:rPr>
      </w:pPr>
      <w:r>
        <w:rPr>
          <w:rFonts w:hint="eastAsia"/>
        </w:rPr>
        <w:t xml:space="preserve"> </w:t>
      </w:r>
      <w:r>
        <w:rPr>
          <w:rFonts w:hint="eastAsia"/>
          <w:lang w:val="en-US" w:eastAsia="zh-CN"/>
        </w:rPr>
        <w:t xml:space="preserve">                 </w:t>
      </w:r>
      <w:r>
        <w:rPr>
          <w:rFonts w:hint="eastAsia"/>
        </w:rPr>
        <w:t>项目</w:t>
      </w:r>
      <w:r>
        <w:rPr>
          <w:rFonts w:hint="eastAsia"/>
          <w:lang w:val="en-US" w:eastAsia="zh-CN"/>
        </w:rPr>
        <w:t>（一期）</w:t>
      </w:r>
      <w:r>
        <w:rPr>
          <w:rFonts w:hint="eastAsia"/>
          <w:lang w:eastAsia="zh-CN"/>
        </w:rPr>
        <w:t>基本情况</w:t>
      </w:r>
    </w:p>
    <w:tbl>
      <w:tblPr>
        <w:tblStyle w:val="16"/>
        <w:tblW w:w="85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59"/>
        <w:gridCol w:w="709"/>
        <w:gridCol w:w="2954"/>
        <w:gridCol w:w="2977"/>
        <w:gridCol w:w="11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759" w:type="dxa"/>
            <w:tcBorders>
              <w:tl2br w:val="nil"/>
              <w:tr2bl w:val="nil"/>
            </w:tcBorders>
            <w:vAlign w:val="center"/>
          </w:tcPr>
          <w:p>
            <w:pPr>
              <w:pStyle w:val="19"/>
              <w:bidi w:val="0"/>
              <w:rPr>
                <w:b/>
                <w:bCs w:val="0"/>
              </w:rPr>
            </w:pPr>
            <w:bookmarkStart w:id="57" w:name="_Toc25598"/>
            <w:bookmarkStart w:id="58" w:name="_Toc5667"/>
            <w:bookmarkStart w:id="59" w:name="_Toc5427"/>
            <w:bookmarkStart w:id="60" w:name="_Toc14812"/>
            <w:bookmarkStart w:id="61" w:name="_Toc27139"/>
            <w:r>
              <w:rPr>
                <w:b/>
                <w:bCs w:val="0"/>
              </w:rPr>
              <w:t>序号</w:t>
            </w:r>
          </w:p>
        </w:tc>
        <w:tc>
          <w:tcPr>
            <w:tcW w:w="709" w:type="dxa"/>
            <w:tcBorders>
              <w:tl2br w:val="nil"/>
              <w:tr2bl w:val="nil"/>
            </w:tcBorders>
            <w:vAlign w:val="center"/>
          </w:tcPr>
          <w:p>
            <w:pPr>
              <w:pStyle w:val="19"/>
              <w:bidi w:val="0"/>
              <w:rPr>
                <w:b/>
                <w:bCs w:val="0"/>
              </w:rPr>
            </w:pPr>
            <w:r>
              <w:rPr>
                <w:b/>
                <w:bCs w:val="0"/>
              </w:rPr>
              <w:t>项目</w:t>
            </w:r>
          </w:p>
        </w:tc>
        <w:tc>
          <w:tcPr>
            <w:tcW w:w="2954" w:type="dxa"/>
            <w:tcBorders>
              <w:tl2br w:val="nil"/>
              <w:tr2bl w:val="nil"/>
            </w:tcBorders>
            <w:vAlign w:val="center"/>
          </w:tcPr>
          <w:p>
            <w:pPr>
              <w:pStyle w:val="19"/>
              <w:bidi w:val="0"/>
              <w:rPr>
                <w:b/>
                <w:bCs w:val="0"/>
              </w:rPr>
            </w:pPr>
            <w:r>
              <w:rPr>
                <w:b/>
                <w:bCs w:val="0"/>
              </w:rPr>
              <w:t>环评及批复内容</w:t>
            </w:r>
          </w:p>
        </w:tc>
        <w:tc>
          <w:tcPr>
            <w:tcW w:w="2977" w:type="dxa"/>
            <w:tcBorders>
              <w:tl2br w:val="nil"/>
              <w:tr2bl w:val="nil"/>
            </w:tcBorders>
            <w:vAlign w:val="center"/>
          </w:tcPr>
          <w:p>
            <w:pPr>
              <w:pStyle w:val="19"/>
              <w:bidi w:val="0"/>
              <w:rPr>
                <w:b/>
                <w:bCs w:val="0"/>
              </w:rPr>
            </w:pPr>
            <w:r>
              <w:rPr>
                <w:b/>
                <w:bCs w:val="0"/>
              </w:rPr>
              <w:t>实际建设内容</w:t>
            </w:r>
          </w:p>
        </w:tc>
        <w:tc>
          <w:tcPr>
            <w:tcW w:w="1123" w:type="dxa"/>
            <w:tcBorders>
              <w:tl2br w:val="nil"/>
              <w:tr2bl w:val="nil"/>
            </w:tcBorders>
            <w:vAlign w:val="center"/>
          </w:tcPr>
          <w:p>
            <w:pPr>
              <w:pStyle w:val="19"/>
              <w:bidi w:val="0"/>
              <w:rPr>
                <w:b/>
                <w:bCs w:val="0"/>
              </w:rPr>
            </w:pPr>
            <w:r>
              <w:rPr>
                <w:b/>
                <w:bCs w:val="0"/>
              </w:rPr>
              <w:t>一致性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pPr>
              <w:pStyle w:val="19"/>
              <w:bidi w:val="0"/>
            </w:pPr>
            <w:r>
              <w:t>1</w:t>
            </w:r>
          </w:p>
        </w:tc>
        <w:tc>
          <w:tcPr>
            <w:tcW w:w="709" w:type="dxa"/>
            <w:tcBorders>
              <w:tl2br w:val="nil"/>
              <w:tr2bl w:val="nil"/>
            </w:tcBorders>
            <w:vAlign w:val="center"/>
          </w:tcPr>
          <w:p>
            <w:pPr>
              <w:pStyle w:val="19"/>
              <w:bidi w:val="0"/>
            </w:pPr>
            <w:r>
              <w:t>项目名称</w:t>
            </w:r>
          </w:p>
        </w:tc>
        <w:tc>
          <w:tcPr>
            <w:tcW w:w="2954" w:type="dxa"/>
            <w:tcBorders>
              <w:tl2br w:val="nil"/>
              <w:tr2bl w:val="nil"/>
            </w:tcBorders>
            <w:vAlign w:val="center"/>
          </w:tcPr>
          <w:p>
            <w:pPr>
              <w:pStyle w:val="19"/>
              <w:bidi w:val="0"/>
              <w:rPr>
                <w:rFonts w:hint="eastAsia"/>
                <w:lang w:eastAsia="zh-CN"/>
              </w:rPr>
            </w:pPr>
            <w:r>
              <w:rPr>
                <w:rFonts w:hint="eastAsia"/>
                <w:lang w:val="en-US" w:eastAsia="zh-CN"/>
              </w:rPr>
              <w:t>年产50亿只密封圈项目（一期）</w:t>
            </w:r>
          </w:p>
        </w:tc>
        <w:tc>
          <w:tcPr>
            <w:tcW w:w="2977" w:type="dxa"/>
            <w:tcBorders>
              <w:tl2br w:val="nil"/>
              <w:tr2bl w:val="nil"/>
            </w:tcBorders>
            <w:vAlign w:val="center"/>
          </w:tcPr>
          <w:p>
            <w:pPr>
              <w:pStyle w:val="19"/>
              <w:bidi w:val="0"/>
            </w:pPr>
            <w:r>
              <w:rPr>
                <w:rFonts w:hint="eastAsia"/>
                <w:lang w:val="en-US" w:eastAsia="zh-CN"/>
              </w:rPr>
              <w:t>年产50亿只密封圈项目（一期）</w:t>
            </w:r>
          </w:p>
        </w:tc>
        <w:tc>
          <w:tcPr>
            <w:tcW w:w="1123" w:type="dxa"/>
            <w:tcBorders>
              <w:tl2br w:val="nil"/>
              <w:tr2bl w:val="nil"/>
            </w:tcBorders>
            <w:vAlign w:val="center"/>
          </w:tcPr>
          <w:p>
            <w:pPr>
              <w:pStyle w:val="19"/>
              <w:bidi w:val="0"/>
              <w:rPr>
                <w:rFonts w:hint="default"/>
                <w:lang w:val="en-US" w:eastAsia="zh-CN"/>
              </w:rPr>
            </w:pPr>
            <w:r>
              <w:rPr>
                <w:rFonts w:hint="eastAsia"/>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pPr>
              <w:pStyle w:val="19"/>
              <w:bidi w:val="0"/>
            </w:pPr>
            <w:r>
              <w:t>2</w:t>
            </w:r>
          </w:p>
        </w:tc>
        <w:tc>
          <w:tcPr>
            <w:tcW w:w="709" w:type="dxa"/>
            <w:tcBorders>
              <w:tl2br w:val="nil"/>
              <w:tr2bl w:val="nil"/>
            </w:tcBorders>
            <w:vAlign w:val="center"/>
          </w:tcPr>
          <w:p>
            <w:pPr>
              <w:pStyle w:val="19"/>
              <w:bidi w:val="0"/>
            </w:pPr>
            <w:r>
              <w:t>建设单位</w:t>
            </w:r>
          </w:p>
        </w:tc>
        <w:tc>
          <w:tcPr>
            <w:tcW w:w="2954" w:type="dxa"/>
            <w:tcBorders>
              <w:tl2br w:val="nil"/>
              <w:tr2bl w:val="nil"/>
            </w:tcBorders>
            <w:vAlign w:val="center"/>
          </w:tcPr>
          <w:p>
            <w:pPr>
              <w:pStyle w:val="19"/>
              <w:bidi w:val="0"/>
              <w:rPr>
                <w:rFonts w:hint="eastAsia"/>
                <w:lang w:eastAsia="zh-CN"/>
              </w:rPr>
            </w:pPr>
            <w:r>
              <w:rPr>
                <w:rFonts w:hint="eastAsia"/>
                <w:lang w:eastAsia="zh-CN"/>
              </w:rPr>
              <w:t>新乡市鸿鹄电子科技有限公司</w:t>
            </w:r>
          </w:p>
        </w:tc>
        <w:tc>
          <w:tcPr>
            <w:tcW w:w="2977" w:type="dxa"/>
            <w:tcBorders>
              <w:tl2br w:val="nil"/>
              <w:tr2bl w:val="nil"/>
            </w:tcBorders>
            <w:vAlign w:val="center"/>
          </w:tcPr>
          <w:p>
            <w:pPr>
              <w:pStyle w:val="19"/>
              <w:bidi w:val="0"/>
              <w:rPr>
                <w:rFonts w:hint="eastAsia"/>
                <w:lang w:eastAsia="zh-CN"/>
              </w:rPr>
            </w:pPr>
            <w:r>
              <w:rPr>
                <w:rFonts w:hint="eastAsia"/>
                <w:lang w:eastAsia="zh-CN"/>
              </w:rPr>
              <w:t>新乡市鸿鹄电子科技有限公司</w:t>
            </w:r>
          </w:p>
        </w:tc>
        <w:tc>
          <w:tcPr>
            <w:tcW w:w="1123" w:type="dxa"/>
            <w:tcBorders>
              <w:tl2br w:val="nil"/>
              <w:tr2bl w:val="nil"/>
            </w:tcBorders>
            <w:vAlign w:val="center"/>
          </w:tcPr>
          <w:p>
            <w:pPr>
              <w:pStyle w:val="19"/>
              <w:bidi w:val="0"/>
            </w:pPr>
            <w:r>
              <w:rPr>
                <w:rFonts w:hint="eastAsia"/>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pPr>
              <w:pStyle w:val="19"/>
              <w:bidi w:val="0"/>
            </w:pPr>
            <w:r>
              <w:t>3</w:t>
            </w:r>
          </w:p>
        </w:tc>
        <w:tc>
          <w:tcPr>
            <w:tcW w:w="709" w:type="dxa"/>
            <w:tcBorders>
              <w:tl2br w:val="nil"/>
              <w:tr2bl w:val="nil"/>
            </w:tcBorders>
            <w:vAlign w:val="center"/>
          </w:tcPr>
          <w:p>
            <w:pPr>
              <w:pStyle w:val="19"/>
              <w:bidi w:val="0"/>
            </w:pPr>
            <w:r>
              <w:t>投资总额</w:t>
            </w:r>
          </w:p>
        </w:tc>
        <w:tc>
          <w:tcPr>
            <w:tcW w:w="2954" w:type="dxa"/>
            <w:tcBorders>
              <w:tl2br w:val="nil"/>
              <w:tr2bl w:val="nil"/>
            </w:tcBorders>
            <w:vAlign w:val="center"/>
          </w:tcPr>
          <w:p>
            <w:pPr>
              <w:pStyle w:val="19"/>
              <w:bidi w:val="0"/>
            </w:pPr>
            <w:r>
              <w:rPr>
                <w:rFonts w:hint="eastAsia"/>
                <w:lang w:val="en-US" w:eastAsia="zh-CN"/>
              </w:rPr>
              <w:t>10</w:t>
            </w:r>
            <w:r>
              <w:t>00</w:t>
            </w:r>
            <w:r>
              <w:rPr>
                <w:rFonts w:hint="eastAsia"/>
                <w:lang w:val="en-US" w:eastAsia="zh-CN"/>
              </w:rPr>
              <w:t>0</w:t>
            </w:r>
            <w:r>
              <w:t>万元</w:t>
            </w:r>
          </w:p>
        </w:tc>
        <w:tc>
          <w:tcPr>
            <w:tcW w:w="2977" w:type="dxa"/>
            <w:tcBorders>
              <w:tl2br w:val="nil"/>
              <w:tr2bl w:val="nil"/>
            </w:tcBorders>
            <w:vAlign w:val="center"/>
          </w:tcPr>
          <w:p>
            <w:pPr>
              <w:pStyle w:val="19"/>
              <w:bidi w:val="0"/>
            </w:pPr>
            <w:r>
              <w:rPr>
                <w:rFonts w:hint="eastAsia"/>
                <w:lang w:val="en-US" w:eastAsia="zh-CN"/>
              </w:rPr>
              <w:t>5</w:t>
            </w:r>
            <w:r>
              <w:t>00</w:t>
            </w:r>
            <w:r>
              <w:rPr>
                <w:rFonts w:hint="eastAsia"/>
                <w:lang w:val="en-US" w:eastAsia="zh-CN"/>
              </w:rPr>
              <w:t>0</w:t>
            </w:r>
            <w:r>
              <w:t>万元</w:t>
            </w:r>
          </w:p>
        </w:tc>
        <w:tc>
          <w:tcPr>
            <w:tcW w:w="1123" w:type="dxa"/>
            <w:tcBorders>
              <w:tl2br w:val="nil"/>
              <w:tr2bl w:val="nil"/>
            </w:tcBorders>
            <w:vAlign w:val="center"/>
          </w:tcPr>
          <w:p>
            <w:pPr>
              <w:pStyle w:val="19"/>
              <w:bidi w:val="0"/>
              <w:rPr>
                <w:rFonts w:hint="default"/>
                <w:lang w:val="en-US"/>
              </w:rPr>
            </w:pPr>
            <w:r>
              <w:rPr>
                <w:rFonts w:hint="eastAsia"/>
                <w:lang w:val="en-US" w:eastAsia="zh-CN"/>
              </w:rPr>
              <w:t>产能降低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7" w:hRule="atLeast"/>
          <w:jc w:val="center"/>
        </w:trPr>
        <w:tc>
          <w:tcPr>
            <w:tcW w:w="759" w:type="dxa"/>
            <w:tcBorders>
              <w:tl2br w:val="nil"/>
              <w:tr2bl w:val="nil"/>
            </w:tcBorders>
            <w:vAlign w:val="center"/>
          </w:tcPr>
          <w:p>
            <w:pPr>
              <w:pStyle w:val="19"/>
              <w:bidi w:val="0"/>
            </w:pPr>
            <w:r>
              <w:t>4</w:t>
            </w:r>
          </w:p>
        </w:tc>
        <w:tc>
          <w:tcPr>
            <w:tcW w:w="709" w:type="dxa"/>
            <w:tcBorders>
              <w:tl2br w:val="nil"/>
              <w:tr2bl w:val="nil"/>
            </w:tcBorders>
            <w:vAlign w:val="center"/>
          </w:tcPr>
          <w:p>
            <w:pPr>
              <w:pStyle w:val="19"/>
              <w:bidi w:val="0"/>
            </w:pPr>
            <w:r>
              <w:t>产品方案</w:t>
            </w:r>
          </w:p>
        </w:tc>
        <w:tc>
          <w:tcPr>
            <w:tcW w:w="2954" w:type="dxa"/>
            <w:tcBorders>
              <w:tl2br w:val="nil"/>
              <w:tr2bl w:val="nil"/>
            </w:tcBorders>
            <w:vAlign w:val="center"/>
          </w:tcPr>
          <w:p>
            <w:pPr>
              <w:pStyle w:val="19"/>
              <w:bidi w:val="0"/>
              <w:rPr>
                <w:rFonts w:hint="eastAsia"/>
                <w:lang w:eastAsia="zh-CN"/>
              </w:rPr>
            </w:pPr>
            <w:r>
              <w:rPr>
                <w:rFonts w:hint="eastAsia"/>
              </w:rPr>
              <w:t>33.3亿只密封圈/年</w:t>
            </w:r>
          </w:p>
        </w:tc>
        <w:tc>
          <w:tcPr>
            <w:tcW w:w="2977" w:type="dxa"/>
            <w:tcBorders>
              <w:tl2br w:val="nil"/>
              <w:tr2bl w:val="nil"/>
            </w:tcBorders>
            <w:vAlign w:val="center"/>
          </w:tcPr>
          <w:p>
            <w:pPr>
              <w:pStyle w:val="19"/>
              <w:bidi w:val="0"/>
            </w:pPr>
            <w:r>
              <w:rPr>
                <w:rFonts w:hint="eastAsia"/>
              </w:rPr>
              <w:t>16.7亿只密封圈/年</w:t>
            </w:r>
          </w:p>
        </w:tc>
        <w:tc>
          <w:tcPr>
            <w:tcW w:w="1123" w:type="dxa"/>
            <w:tcBorders>
              <w:tl2br w:val="nil"/>
              <w:tr2bl w:val="nil"/>
            </w:tcBorders>
            <w:vAlign w:val="center"/>
          </w:tcPr>
          <w:p>
            <w:pPr>
              <w:pStyle w:val="19"/>
              <w:bidi w:val="0"/>
            </w:pPr>
            <w:r>
              <w:rPr>
                <w:rFonts w:hint="eastAsia"/>
                <w:lang w:val="en-US" w:eastAsia="zh-CN"/>
              </w:rPr>
              <w:t>产能降低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59" w:type="dxa"/>
            <w:tcBorders>
              <w:tl2br w:val="nil"/>
              <w:tr2bl w:val="nil"/>
            </w:tcBorders>
            <w:vAlign w:val="center"/>
          </w:tcPr>
          <w:p>
            <w:pPr>
              <w:pStyle w:val="19"/>
              <w:bidi w:val="0"/>
            </w:pPr>
            <w:r>
              <w:t>5</w:t>
            </w:r>
          </w:p>
        </w:tc>
        <w:tc>
          <w:tcPr>
            <w:tcW w:w="709" w:type="dxa"/>
            <w:tcBorders>
              <w:tl2br w:val="nil"/>
              <w:tr2bl w:val="nil"/>
            </w:tcBorders>
            <w:vAlign w:val="center"/>
          </w:tcPr>
          <w:p>
            <w:pPr>
              <w:pStyle w:val="19"/>
              <w:bidi w:val="0"/>
            </w:pPr>
            <w:r>
              <w:t>建设地点</w:t>
            </w:r>
          </w:p>
        </w:tc>
        <w:tc>
          <w:tcPr>
            <w:tcW w:w="2954" w:type="dxa"/>
            <w:tcBorders>
              <w:tl2br w:val="nil"/>
              <w:tr2bl w:val="nil"/>
            </w:tcBorders>
            <w:vAlign w:val="center"/>
          </w:tcPr>
          <w:p>
            <w:pPr>
              <w:pStyle w:val="19"/>
              <w:bidi w:val="0"/>
            </w:pPr>
            <w:r>
              <w:rPr>
                <w:rFonts w:hint="eastAsia"/>
              </w:rPr>
              <w:t>河南省新乡市凤泉区新乡市新能源电池专业园区</w:t>
            </w:r>
          </w:p>
        </w:tc>
        <w:tc>
          <w:tcPr>
            <w:tcW w:w="2977" w:type="dxa"/>
            <w:tcBorders>
              <w:tl2br w:val="nil"/>
              <w:tr2bl w:val="nil"/>
            </w:tcBorders>
            <w:vAlign w:val="center"/>
          </w:tcPr>
          <w:p>
            <w:pPr>
              <w:pStyle w:val="19"/>
              <w:bidi w:val="0"/>
            </w:pPr>
            <w:r>
              <w:rPr>
                <w:rFonts w:hint="eastAsia"/>
              </w:rPr>
              <w:t>河南省新乡市凤泉区新乡市新能源电池专业园区</w:t>
            </w:r>
          </w:p>
        </w:tc>
        <w:tc>
          <w:tcPr>
            <w:tcW w:w="1123" w:type="dxa"/>
            <w:tcBorders>
              <w:tl2br w:val="nil"/>
              <w:tr2bl w:val="nil"/>
            </w:tcBorders>
            <w:vAlign w:val="center"/>
          </w:tcPr>
          <w:p>
            <w:pPr>
              <w:pStyle w:val="19"/>
              <w:bidi w:val="0"/>
            </w:pPr>
            <w:r>
              <w:rPr>
                <w:rFonts w:hint="eastAsia"/>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pPr>
              <w:pStyle w:val="19"/>
              <w:bidi w:val="0"/>
            </w:pPr>
            <w:r>
              <w:t>6</w:t>
            </w:r>
          </w:p>
        </w:tc>
        <w:tc>
          <w:tcPr>
            <w:tcW w:w="709" w:type="dxa"/>
            <w:tcBorders>
              <w:tl2br w:val="nil"/>
              <w:tr2bl w:val="nil"/>
            </w:tcBorders>
            <w:vAlign w:val="center"/>
          </w:tcPr>
          <w:p>
            <w:pPr>
              <w:pStyle w:val="19"/>
              <w:bidi w:val="0"/>
            </w:pPr>
            <w:r>
              <w:t>劳动定员</w:t>
            </w:r>
          </w:p>
        </w:tc>
        <w:tc>
          <w:tcPr>
            <w:tcW w:w="2954" w:type="dxa"/>
            <w:tcBorders>
              <w:tl2br w:val="nil"/>
              <w:tr2bl w:val="nil"/>
            </w:tcBorders>
            <w:vAlign w:val="center"/>
          </w:tcPr>
          <w:p>
            <w:pPr>
              <w:pStyle w:val="19"/>
              <w:bidi w:val="0"/>
              <w:rPr>
                <w:rFonts w:hint="eastAsia"/>
                <w:lang w:eastAsia="zh-CN"/>
              </w:rPr>
            </w:pPr>
            <w:r>
              <w:rPr>
                <w:rFonts w:hint="eastAsia"/>
                <w:lang w:val="en-US" w:eastAsia="zh-CN"/>
              </w:rPr>
              <w:t>25</w:t>
            </w:r>
            <w:r>
              <w:t>人</w:t>
            </w:r>
          </w:p>
        </w:tc>
        <w:tc>
          <w:tcPr>
            <w:tcW w:w="2977" w:type="dxa"/>
            <w:tcBorders>
              <w:tl2br w:val="nil"/>
              <w:tr2bl w:val="nil"/>
            </w:tcBorders>
            <w:vAlign w:val="center"/>
          </w:tcPr>
          <w:p>
            <w:pPr>
              <w:pStyle w:val="19"/>
              <w:bidi w:val="0"/>
              <w:ind w:firstLine="0" w:firstLineChars="0"/>
            </w:pPr>
            <w:r>
              <w:rPr>
                <w:rFonts w:hint="eastAsia"/>
                <w:lang w:val="en-US" w:eastAsia="zh-CN"/>
              </w:rPr>
              <w:t>15</w:t>
            </w:r>
            <w:r>
              <w:t>人</w:t>
            </w:r>
          </w:p>
        </w:tc>
        <w:tc>
          <w:tcPr>
            <w:tcW w:w="1123" w:type="dxa"/>
            <w:tcBorders>
              <w:tl2br w:val="nil"/>
              <w:tr2bl w:val="nil"/>
            </w:tcBorders>
            <w:vAlign w:val="center"/>
          </w:tcPr>
          <w:p>
            <w:pPr>
              <w:pStyle w:val="19"/>
              <w:bidi w:val="0"/>
            </w:pPr>
            <w:r>
              <w:rPr>
                <w:rFonts w:hint="eastAsia"/>
                <w:lang w:val="en-US" w:eastAsia="zh-CN"/>
              </w:rPr>
              <w:t>产能降低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59" w:type="dxa"/>
            <w:tcBorders>
              <w:tl2br w:val="nil"/>
              <w:tr2bl w:val="nil"/>
            </w:tcBorders>
            <w:vAlign w:val="center"/>
          </w:tcPr>
          <w:p>
            <w:pPr>
              <w:pStyle w:val="19"/>
              <w:bidi w:val="0"/>
            </w:pPr>
            <w:r>
              <w:t>7</w:t>
            </w:r>
          </w:p>
        </w:tc>
        <w:tc>
          <w:tcPr>
            <w:tcW w:w="709" w:type="dxa"/>
            <w:tcBorders>
              <w:tl2br w:val="nil"/>
              <w:tr2bl w:val="nil"/>
            </w:tcBorders>
            <w:vAlign w:val="center"/>
          </w:tcPr>
          <w:p>
            <w:pPr>
              <w:pStyle w:val="19"/>
              <w:bidi w:val="0"/>
            </w:pPr>
            <w:r>
              <w:t>工作制度</w:t>
            </w:r>
          </w:p>
        </w:tc>
        <w:tc>
          <w:tcPr>
            <w:tcW w:w="2954" w:type="dxa"/>
            <w:tcBorders>
              <w:tl2br w:val="nil"/>
              <w:tr2bl w:val="nil"/>
            </w:tcBorders>
            <w:vAlign w:val="center"/>
          </w:tcPr>
          <w:p>
            <w:pPr>
              <w:pStyle w:val="19"/>
              <w:bidi w:val="0"/>
            </w:pPr>
            <w:r>
              <w:rPr>
                <w:rFonts w:hint="eastAsia"/>
                <w:lang w:val="en-US" w:eastAsia="zh-CN"/>
              </w:rPr>
              <w:t>两</w:t>
            </w:r>
            <w:r>
              <w:rPr>
                <w:rFonts w:hint="eastAsia"/>
                <w:lang w:eastAsia="zh-CN"/>
              </w:rPr>
              <w:t>班制，每班8小时，年工作日2</w:t>
            </w:r>
            <w:r>
              <w:rPr>
                <w:rFonts w:hint="eastAsia"/>
                <w:lang w:val="en-US" w:eastAsia="zh-CN"/>
              </w:rPr>
              <w:t>5</w:t>
            </w:r>
            <w:r>
              <w:rPr>
                <w:rFonts w:hint="eastAsia"/>
                <w:lang w:eastAsia="zh-CN"/>
              </w:rPr>
              <w:t>0天</w:t>
            </w:r>
          </w:p>
        </w:tc>
        <w:tc>
          <w:tcPr>
            <w:tcW w:w="2977" w:type="dxa"/>
            <w:tcBorders>
              <w:tl2br w:val="nil"/>
              <w:tr2bl w:val="nil"/>
            </w:tcBorders>
            <w:vAlign w:val="center"/>
          </w:tcPr>
          <w:p>
            <w:pPr>
              <w:pStyle w:val="19"/>
              <w:bidi w:val="0"/>
              <w:ind w:firstLine="0" w:firstLineChars="0"/>
            </w:pPr>
            <w:r>
              <w:rPr>
                <w:rFonts w:hint="eastAsia"/>
                <w:lang w:val="en-US" w:eastAsia="zh-CN"/>
              </w:rPr>
              <w:t>两</w:t>
            </w:r>
            <w:r>
              <w:rPr>
                <w:rFonts w:hint="eastAsia"/>
                <w:lang w:eastAsia="zh-CN"/>
              </w:rPr>
              <w:t>班制，每班8小时，年工作日2</w:t>
            </w:r>
            <w:r>
              <w:rPr>
                <w:rFonts w:hint="eastAsia"/>
                <w:lang w:val="en-US" w:eastAsia="zh-CN"/>
              </w:rPr>
              <w:t>5</w:t>
            </w:r>
            <w:r>
              <w:rPr>
                <w:rFonts w:hint="eastAsia"/>
                <w:lang w:eastAsia="zh-CN"/>
              </w:rPr>
              <w:t>0天</w:t>
            </w:r>
          </w:p>
        </w:tc>
        <w:tc>
          <w:tcPr>
            <w:tcW w:w="1123" w:type="dxa"/>
            <w:tcBorders>
              <w:tl2br w:val="nil"/>
              <w:tr2bl w:val="nil"/>
            </w:tcBorders>
            <w:vAlign w:val="center"/>
          </w:tcPr>
          <w:p>
            <w:pPr>
              <w:pStyle w:val="19"/>
              <w:bidi w:val="0"/>
            </w:pPr>
            <w:r>
              <w:rPr>
                <w:rFonts w:hint="eastAsia"/>
                <w:lang w:val="en-US" w:eastAsia="zh-CN"/>
              </w:rPr>
              <w:t>一致</w:t>
            </w:r>
          </w:p>
        </w:tc>
      </w:tr>
      <w:bookmarkEnd w:id="55"/>
      <w:bookmarkEnd w:id="56"/>
      <w:bookmarkEnd w:id="57"/>
      <w:bookmarkEnd w:id="58"/>
      <w:bookmarkEnd w:id="59"/>
      <w:bookmarkEnd w:id="60"/>
      <w:bookmarkEnd w:id="61"/>
    </w:tbl>
    <w:p>
      <w:pPr>
        <w:bidi w:val="0"/>
        <w:rPr>
          <w:rFonts w:hint="default"/>
          <w:lang w:val="en-US" w:eastAsia="zh-CN"/>
        </w:rPr>
      </w:pPr>
      <w:r>
        <w:rPr>
          <w:rFonts w:hint="eastAsia"/>
          <w:lang w:eastAsia="zh-CN"/>
        </w:rPr>
        <w:t>（</w:t>
      </w:r>
      <w:r>
        <w:rPr>
          <w:rFonts w:hint="eastAsia"/>
          <w:lang w:val="en-US" w:eastAsia="zh-CN"/>
        </w:rPr>
        <w:t>2</w:t>
      </w:r>
      <w:r>
        <w:rPr>
          <w:rFonts w:hint="eastAsia"/>
          <w:lang w:eastAsia="zh-CN"/>
        </w:rPr>
        <w:t>）项目</w:t>
      </w:r>
      <w:r>
        <w:rPr>
          <w:rFonts w:hint="default"/>
          <w:lang w:val="en-US" w:eastAsia="zh-CN"/>
        </w:rPr>
        <w:t>工程组成及建设内容与环评一致性分析见下表。</w:t>
      </w:r>
    </w:p>
    <w:p>
      <w:pPr>
        <w:pStyle w:val="20"/>
        <w:bidi w:val="0"/>
        <w:rPr>
          <w:rFonts w:hint="default"/>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项目（一期）</w:t>
      </w:r>
      <w:r>
        <w:rPr>
          <w:rFonts w:hint="default"/>
        </w:rPr>
        <w:t>工程组成及建设内容</w:t>
      </w:r>
    </w:p>
    <w:tbl>
      <w:tblPr>
        <w:tblStyle w:val="16"/>
        <w:tblW w:w="85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5"/>
        <w:gridCol w:w="568"/>
        <w:gridCol w:w="632"/>
        <w:gridCol w:w="3115"/>
        <w:gridCol w:w="3012"/>
        <w:gridCol w:w="8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tcBorders>
              <w:tl2br w:val="nil"/>
              <w:tr2bl w:val="nil"/>
            </w:tcBorders>
            <w:vAlign w:val="center"/>
          </w:tcPr>
          <w:p>
            <w:pPr>
              <w:pStyle w:val="19"/>
              <w:bidi w:val="0"/>
              <w:rPr>
                <w:rFonts w:hint="default"/>
                <w:b/>
                <w:bCs w:val="0"/>
                <w:lang w:val="en-US" w:eastAsia="zh-CN"/>
              </w:rPr>
            </w:pPr>
            <w:r>
              <w:rPr>
                <w:rFonts w:hint="eastAsia"/>
                <w:b/>
                <w:bCs w:val="0"/>
                <w:lang w:val="en-US" w:eastAsia="zh-CN"/>
              </w:rPr>
              <w:t>序号</w:t>
            </w:r>
          </w:p>
        </w:tc>
        <w:tc>
          <w:tcPr>
            <w:tcW w:w="1200" w:type="dxa"/>
            <w:gridSpan w:val="2"/>
            <w:tcBorders>
              <w:tl2br w:val="nil"/>
              <w:tr2bl w:val="nil"/>
            </w:tcBorders>
            <w:vAlign w:val="center"/>
          </w:tcPr>
          <w:p>
            <w:pPr>
              <w:pStyle w:val="19"/>
              <w:bidi w:val="0"/>
              <w:rPr>
                <w:rFonts w:hint="default"/>
                <w:b/>
                <w:bCs w:val="0"/>
                <w:lang w:val="en-US" w:eastAsia="zh-CN"/>
              </w:rPr>
            </w:pPr>
            <w:r>
              <w:rPr>
                <w:rFonts w:hint="eastAsia"/>
                <w:b/>
                <w:bCs w:val="0"/>
                <w:lang w:val="en-US" w:eastAsia="zh-CN"/>
              </w:rPr>
              <w:t>类别</w:t>
            </w:r>
          </w:p>
        </w:tc>
        <w:tc>
          <w:tcPr>
            <w:tcW w:w="3115" w:type="dxa"/>
            <w:tcBorders>
              <w:tl2br w:val="nil"/>
              <w:tr2bl w:val="nil"/>
            </w:tcBorders>
            <w:vAlign w:val="center"/>
          </w:tcPr>
          <w:p>
            <w:pPr>
              <w:pStyle w:val="19"/>
              <w:bidi w:val="0"/>
              <w:rPr>
                <w:rFonts w:hint="eastAsia"/>
                <w:b/>
                <w:bCs w:val="0"/>
                <w:lang w:val="en-US" w:eastAsia="zh-CN"/>
              </w:rPr>
            </w:pPr>
            <w:r>
              <w:rPr>
                <w:rFonts w:hint="eastAsia"/>
                <w:b/>
                <w:bCs w:val="0"/>
                <w:lang w:val="en-US" w:eastAsia="zh-CN"/>
              </w:rPr>
              <w:t>环评及批复审批项目内容</w:t>
            </w:r>
          </w:p>
        </w:tc>
        <w:tc>
          <w:tcPr>
            <w:tcW w:w="3012" w:type="dxa"/>
            <w:tcBorders>
              <w:tl2br w:val="nil"/>
              <w:tr2bl w:val="nil"/>
            </w:tcBorders>
            <w:vAlign w:val="center"/>
          </w:tcPr>
          <w:p>
            <w:pPr>
              <w:pStyle w:val="19"/>
              <w:bidi w:val="0"/>
              <w:rPr>
                <w:rFonts w:hint="eastAsia"/>
                <w:b/>
                <w:bCs w:val="0"/>
                <w:lang w:val="en-US" w:eastAsia="zh-CN"/>
              </w:rPr>
            </w:pPr>
            <w:r>
              <w:rPr>
                <w:rFonts w:hint="eastAsia"/>
                <w:b/>
                <w:bCs w:val="0"/>
                <w:lang w:val="en-US" w:eastAsia="zh-CN"/>
              </w:rPr>
              <w:t>实际建设情况</w:t>
            </w:r>
          </w:p>
        </w:tc>
        <w:tc>
          <w:tcPr>
            <w:tcW w:w="893" w:type="dxa"/>
            <w:tcBorders>
              <w:tl2br w:val="nil"/>
              <w:tr2bl w:val="nil"/>
            </w:tcBorders>
            <w:vAlign w:val="center"/>
          </w:tcPr>
          <w:p>
            <w:pPr>
              <w:pStyle w:val="19"/>
              <w:bidi w:val="0"/>
              <w:rPr>
                <w:rFonts w:hint="eastAsia"/>
                <w:b/>
                <w:bCs w:val="0"/>
                <w:lang w:val="en-US" w:eastAsia="zh-CN"/>
              </w:rPr>
            </w:pPr>
            <w:r>
              <w:rPr>
                <w:rFonts w:hint="eastAsia"/>
                <w:b/>
                <w:bCs w:val="0"/>
                <w:lang w:val="en-US" w:eastAsia="zh-CN"/>
              </w:rPr>
              <w:t>一致性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tcBorders>
              <w:tl2br w:val="nil"/>
              <w:tr2bl w:val="nil"/>
            </w:tcBorders>
            <w:vAlign w:val="center"/>
          </w:tcPr>
          <w:p>
            <w:pPr>
              <w:pStyle w:val="19"/>
              <w:bidi w:val="0"/>
              <w:rPr>
                <w:rFonts w:hint="default"/>
                <w:lang w:val="en-US" w:eastAsia="zh-CN"/>
              </w:rPr>
            </w:pPr>
            <w:r>
              <w:rPr>
                <w:rFonts w:hint="eastAsia"/>
                <w:lang w:val="en-US" w:eastAsia="zh-CN"/>
              </w:rPr>
              <w:t>1</w:t>
            </w:r>
          </w:p>
        </w:tc>
        <w:tc>
          <w:tcPr>
            <w:tcW w:w="568" w:type="dxa"/>
            <w:tcBorders>
              <w:tl2br w:val="nil"/>
              <w:tr2bl w:val="nil"/>
            </w:tcBorders>
            <w:vAlign w:val="center"/>
          </w:tcPr>
          <w:p>
            <w:pPr>
              <w:pStyle w:val="19"/>
              <w:bidi w:val="0"/>
              <w:rPr>
                <w:rFonts w:hint="eastAsia"/>
                <w:lang w:val="en-US" w:eastAsia="zh-CN"/>
              </w:rPr>
            </w:pPr>
            <w:r>
              <w:rPr>
                <w:rFonts w:hint="eastAsia"/>
                <w:lang w:val="en-US" w:eastAsia="zh-CN"/>
              </w:rPr>
              <w:t>主体工程</w:t>
            </w:r>
          </w:p>
        </w:tc>
        <w:tc>
          <w:tcPr>
            <w:tcW w:w="632" w:type="dxa"/>
            <w:tcBorders>
              <w:tl2br w:val="nil"/>
              <w:tr2bl w:val="nil"/>
            </w:tcBorders>
            <w:vAlign w:val="center"/>
          </w:tcPr>
          <w:p>
            <w:pPr>
              <w:pStyle w:val="19"/>
              <w:bidi w:val="0"/>
              <w:rPr>
                <w:rFonts w:hint="eastAsia"/>
                <w:lang w:val="en-US" w:eastAsia="zh-CN"/>
              </w:rPr>
            </w:pPr>
            <w:r>
              <w:rPr>
                <w:rFonts w:hint="eastAsia"/>
                <w:lang w:val="en-US" w:eastAsia="zh-CN"/>
              </w:rPr>
              <w:t>生产车间</w:t>
            </w:r>
          </w:p>
        </w:tc>
        <w:tc>
          <w:tcPr>
            <w:tcW w:w="3115" w:type="dxa"/>
            <w:tcBorders>
              <w:tl2br w:val="nil"/>
              <w:tr2bl w:val="nil"/>
            </w:tcBorders>
            <w:vAlign w:val="center"/>
          </w:tcPr>
          <w:p>
            <w:pPr>
              <w:pStyle w:val="19"/>
              <w:bidi w:val="0"/>
              <w:jc w:val="center"/>
              <w:rPr>
                <w:rFonts w:hint="default"/>
                <w:lang w:val="en-US" w:eastAsia="zh-CN"/>
              </w:rPr>
            </w:pPr>
            <w:r>
              <w:rPr>
                <w:rFonts w:hint="eastAsia"/>
                <w:lang w:val="en-US" w:eastAsia="zh-CN"/>
              </w:rPr>
              <w:t>1座，1F，占地/建筑面积：3000m</w:t>
            </w:r>
            <w:r>
              <w:rPr>
                <w:rFonts w:hint="eastAsia"/>
                <w:vertAlign w:val="superscript"/>
                <w:lang w:val="en-US" w:eastAsia="zh-CN"/>
              </w:rPr>
              <w:t>2</w:t>
            </w:r>
          </w:p>
        </w:tc>
        <w:tc>
          <w:tcPr>
            <w:tcW w:w="3012" w:type="dxa"/>
            <w:tcBorders>
              <w:tl2br w:val="nil"/>
              <w:tr2bl w:val="nil"/>
            </w:tcBorders>
            <w:vAlign w:val="center"/>
          </w:tcPr>
          <w:p>
            <w:pPr>
              <w:pStyle w:val="19"/>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1座，1F，占地/建筑面积：3000m</w:t>
            </w:r>
            <w:r>
              <w:rPr>
                <w:rFonts w:hint="eastAsia"/>
                <w:vertAlign w:val="superscript"/>
                <w:lang w:val="en-US" w:eastAsia="zh-CN"/>
              </w:rPr>
              <w:t>2</w:t>
            </w:r>
          </w:p>
        </w:tc>
        <w:tc>
          <w:tcPr>
            <w:tcW w:w="893" w:type="dxa"/>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tcBorders>
              <w:tl2br w:val="nil"/>
              <w:tr2bl w:val="nil"/>
            </w:tcBorders>
            <w:vAlign w:val="center"/>
          </w:tcPr>
          <w:p>
            <w:pPr>
              <w:pStyle w:val="19"/>
              <w:bidi w:val="0"/>
              <w:rPr>
                <w:rFonts w:hint="default"/>
                <w:lang w:val="en-US" w:eastAsia="zh-CN"/>
              </w:rPr>
            </w:pPr>
            <w:r>
              <w:rPr>
                <w:rFonts w:hint="eastAsia"/>
                <w:lang w:val="en-US" w:eastAsia="zh-CN"/>
              </w:rPr>
              <w:t>2</w:t>
            </w:r>
          </w:p>
        </w:tc>
        <w:tc>
          <w:tcPr>
            <w:tcW w:w="568" w:type="dxa"/>
            <w:tcBorders>
              <w:tl2br w:val="nil"/>
              <w:tr2bl w:val="nil"/>
            </w:tcBorders>
            <w:vAlign w:val="center"/>
          </w:tcPr>
          <w:p>
            <w:pPr>
              <w:pStyle w:val="19"/>
              <w:bidi w:val="0"/>
              <w:rPr>
                <w:rFonts w:hint="eastAsia"/>
                <w:lang w:val="en-US" w:eastAsia="zh-CN"/>
              </w:rPr>
            </w:pPr>
            <w:r>
              <w:rPr>
                <w:rFonts w:hint="eastAsia"/>
                <w:lang w:val="en-US" w:eastAsia="zh-CN"/>
              </w:rPr>
              <w:t>辅助工程</w:t>
            </w:r>
          </w:p>
        </w:tc>
        <w:tc>
          <w:tcPr>
            <w:tcW w:w="632" w:type="dxa"/>
            <w:tcBorders>
              <w:tl2br w:val="nil"/>
              <w:tr2bl w:val="nil"/>
            </w:tcBorders>
            <w:vAlign w:val="center"/>
          </w:tcPr>
          <w:p>
            <w:pPr>
              <w:pStyle w:val="19"/>
              <w:bidi w:val="0"/>
              <w:rPr>
                <w:rFonts w:hint="default"/>
                <w:lang w:val="en-US" w:eastAsia="zh-CN"/>
              </w:rPr>
            </w:pPr>
            <w:r>
              <w:rPr>
                <w:rFonts w:hint="eastAsia"/>
                <w:lang w:val="en-US" w:eastAsia="zh-CN"/>
              </w:rPr>
              <w:t>办公楼</w:t>
            </w:r>
          </w:p>
        </w:tc>
        <w:tc>
          <w:tcPr>
            <w:tcW w:w="3115" w:type="dxa"/>
            <w:tcBorders>
              <w:tl2br w:val="nil"/>
              <w:tr2bl w:val="nil"/>
            </w:tcBorders>
            <w:vAlign w:val="center"/>
          </w:tcPr>
          <w:p>
            <w:pPr>
              <w:pStyle w:val="19"/>
              <w:bidi w:val="0"/>
              <w:jc w:val="center"/>
              <w:rPr>
                <w:rFonts w:hint="default"/>
                <w:lang w:val="en-US" w:eastAsia="zh-CN"/>
              </w:rPr>
            </w:pPr>
            <w:r>
              <w:rPr>
                <w:rFonts w:hint="eastAsia"/>
                <w:lang w:val="en-US" w:eastAsia="zh-CN"/>
              </w:rPr>
              <w:t>1座，1F，占地面积100m</w:t>
            </w:r>
            <w:r>
              <w:rPr>
                <w:rFonts w:hint="eastAsia"/>
                <w:vertAlign w:val="superscript"/>
                <w:lang w:val="en-US" w:eastAsia="zh-CN"/>
              </w:rPr>
              <w:t>2</w:t>
            </w:r>
          </w:p>
        </w:tc>
        <w:tc>
          <w:tcPr>
            <w:tcW w:w="3012" w:type="dxa"/>
            <w:tcBorders>
              <w:tl2br w:val="nil"/>
              <w:tr2bl w:val="nil"/>
            </w:tcBorders>
            <w:vAlign w:val="center"/>
          </w:tcPr>
          <w:p>
            <w:pPr>
              <w:pStyle w:val="19"/>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1座，1F，占地面积100m</w:t>
            </w:r>
            <w:r>
              <w:rPr>
                <w:rFonts w:hint="eastAsia"/>
                <w:vertAlign w:val="superscript"/>
                <w:lang w:val="en-US" w:eastAsia="zh-CN"/>
              </w:rPr>
              <w:t>2</w:t>
            </w:r>
          </w:p>
        </w:tc>
        <w:tc>
          <w:tcPr>
            <w:tcW w:w="893" w:type="dxa"/>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pPr>
              <w:pStyle w:val="19"/>
              <w:bidi w:val="0"/>
              <w:rPr>
                <w:rFonts w:hint="default"/>
                <w:lang w:val="en-US" w:eastAsia="zh-CN"/>
              </w:rPr>
            </w:pPr>
            <w:r>
              <w:rPr>
                <w:rFonts w:hint="eastAsia"/>
                <w:lang w:val="en-US" w:eastAsia="zh-CN"/>
              </w:rPr>
              <w:t>3</w:t>
            </w:r>
          </w:p>
        </w:tc>
        <w:tc>
          <w:tcPr>
            <w:tcW w:w="568" w:type="dxa"/>
            <w:vMerge w:val="restart"/>
            <w:tcBorders>
              <w:tl2br w:val="nil"/>
              <w:tr2bl w:val="nil"/>
            </w:tcBorders>
            <w:vAlign w:val="center"/>
          </w:tcPr>
          <w:p>
            <w:pPr>
              <w:pStyle w:val="19"/>
              <w:bidi w:val="0"/>
              <w:rPr>
                <w:rFonts w:hint="eastAsia"/>
                <w:lang w:val="en-US" w:eastAsia="zh-CN"/>
              </w:rPr>
            </w:pPr>
            <w:r>
              <w:rPr>
                <w:rFonts w:hint="eastAsia"/>
                <w:lang w:val="en-US" w:eastAsia="zh-CN"/>
              </w:rPr>
              <w:t>公用工程</w:t>
            </w:r>
          </w:p>
        </w:tc>
        <w:tc>
          <w:tcPr>
            <w:tcW w:w="632" w:type="dxa"/>
            <w:tcBorders>
              <w:tl2br w:val="nil"/>
              <w:tr2bl w:val="nil"/>
            </w:tcBorders>
            <w:vAlign w:val="center"/>
          </w:tcPr>
          <w:p>
            <w:pPr>
              <w:pStyle w:val="19"/>
              <w:bidi w:val="0"/>
              <w:rPr>
                <w:rFonts w:hint="eastAsia"/>
                <w:lang w:val="en-US" w:eastAsia="zh-CN"/>
              </w:rPr>
            </w:pPr>
            <w:r>
              <w:rPr>
                <w:rFonts w:hint="eastAsia"/>
              </w:rPr>
              <w:t>供水工程</w:t>
            </w:r>
          </w:p>
        </w:tc>
        <w:tc>
          <w:tcPr>
            <w:tcW w:w="3115" w:type="dxa"/>
            <w:tcBorders>
              <w:tl2br w:val="nil"/>
              <w:tr2bl w:val="nil"/>
            </w:tcBorders>
            <w:vAlign w:val="center"/>
          </w:tcPr>
          <w:p>
            <w:pPr>
              <w:pStyle w:val="19"/>
              <w:bidi w:val="0"/>
              <w:rPr>
                <w:rFonts w:hint="default" w:eastAsia="宋体"/>
                <w:lang w:val="en-US" w:eastAsia="zh-CN"/>
              </w:rPr>
            </w:pPr>
            <w:r>
              <w:rPr>
                <w:rFonts w:hint="eastAsia"/>
                <w:lang w:val="en-US" w:eastAsia="zh-CN"/>
              </w:rPr>
              <w:t>生活用水为电池园区自来水管网供给，循环冷却水为外购纯水</w:t>
            </w:r>
          </w:p>
        </w:tc>
        <w:tc>
          <w:tcPr>
            <w:tcW w:w="3012"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生活用水为电池园区自来水管网供给，循环冷却水为外购纯水</w:t>
            </w:r>
          </w:p>
        </w:tc>
        <w:tc>
          <w:tcPr>
            <w:tcW w:w="893" w:type="dxa"/>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pPr>
              <w:pStyle w:val="19"/>
              <w:bidi w:val="0"/>
              <w:rPr>
                <w:rFonts w:hint="eastAsia"/>
                <w:lang w:val="en-US" w:eastAsia="zh-CN"/>
              </w:rPr>
            </w:pPr>
          </w:p>
        </w:tc>
        <w:tc>
          <w:tcPr>
            <w:tcW w:w="568" w:type="dxa"/>
            <w:vMerge w:val="continue"/>
            <w:tcBorders>
              <w:tl2br w:val="nil"/>
              <w:tr2bl w:val="nil"/>
            </w:tcBorders>
            <w:vAlign w:val="center"/>
          </w:tcPr>
          <w:p>
            <w:pPr>
              <w:pStyle w:val="19"/>
              <w:bidi w:val="0"/>
              <w:rPr>
                <w:rFonts w:hint="eastAsia"/>
                <w:lang w:val="en-US" w:eastAsia="zh-CN"/>
              </w:rPr>
            </w:pPr>
          </w:p>
        </w:tc>
        <w:tc>
          <w:tcPr>
            <w:tcW w:w="632" w:type="dxa"/>
            <w:tcBorders>
              <w:tl2br w:val="nil"/>
              <w:tr2bl w:val="nil"/>
            </w:tcBorders>
            <w:vAlign w:val="center"/>
          </w:tcPr>
          <w:p>
            <w:pPr>
              <w:pStyle w:val="19"/>
              <w:bidi w:val="0"/>
              <w:rPr>
                <w:rFonts w:hint="eastAsia"/>
                <w:lang w:val="en-US" w:eastAsia="zh-CN"/>
              </w:rPr>
            </w:pPr>
            <w:r>
              <w:rPr>
                <w:rFonts w:hint="eastAsia"/>
              </w:rPr>
              <w:t>供电工程</w:t>
            </w:r>
          </w:p>
        </w:tc>
        <w:tc>
          <w:tcPr>
            <w:tcW w:w="3115" w:type="dxa"/>
            <w:tcBorders>
              <w:tl2br w:val="nil"/>
              <w:tr2bl w:val="nil"/>
            </w:tcBorders>
            <w:vAlign w:val="center"/>
          </w:tcPr>
          <w:p>
            <w:pPr>
              <w:pStyle w:val="19"/>
              <w:bidi w:val="0"/>
              <w:rPr>
                <w:rFonts w:hint="default"/>
                <w:lang w:val="en-US" w:eastAsia="zh-CN"/>
              </w:rPr>
            </w:pPr>
            <w:r>
              <w:rPr>
                <w:rFonts w:hint="eastAsia"/>
                <w:lang w:val="en-US" w:eastAsia="zh-CN"/>
              </w:rPr>
              <w:t>由电池园区电网集中供应</w:t>
            </w:r>
          </w:p>
        </w:tc>
        <w:tc>
          <w:tcPr>
            <w:tcW w:w="3012"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由电池园区电网集中供应</w:t>
            </w:r>
          </w:p>
        </w:tc>
        <w:tc>
          <w:tcPr>
            <w:tcW w:w="893" w:type="dxa"/>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pPr>
              <w:pStyle w:val="19"/>
              <w:bidi w:val="0"/>
              <w:rPr>
                <w:rFonts w:hint="default"/>
                <w:lang w:val="en-US" w:eastAsia="zh-CN"/>
              </w:rPr>
            </w:pPr>
            <w:r>
              <w:rPr>
                <w:rFonts w:hint="eastAsia"/>
                <w:lang w:val="en-US" w:eastAsia="zh-CN"/>
              </w:rPr>
              <w:t>5</w:t>
            </w:r>
          </w:p>
        </w:tc>
        <w:tc>
          <w:tcPr>
            <w:tcW w:w="568" w:type="dxa"/>
            <w:vMerge w:val="restart"/>
            <w:tcBorders>
              <w:tl2br w:val="nil"/>
              <w:tr2bl w:val="nil"/>
            </w:tcBorders>
            <w:vAlign w:val="center"/>
          </w:tcPr>
          <w:p>
            <w:pPr>
              <w:pStyle w:val="19"/>
              <w:bidi w:val="0"/>
              <w:rPr>
                <w:rFonts w:hint="eastAsia"/>
                <w:lang w:val="en-US" w:eastAsia="zh-CN"/>
              </w:rPr>
            </w:pPr>
            <w:r>
              <w:rPr>
                <w:rFonts w:hint="eastAsia"/>
                <w:lang w:val="en-US" w:eastAsia="zh-CN"/>
              </w:rPr>
              <w:t>环保</w:t>
            </w:r>
            <w:r>
              <w:rPr>
                <w:rFonts w:hint="default"/>
                <w:lang w:val="en-US" w:eastAsia="zh-CN"/>
              </w:rPr>
              <w:t>工程</w:t>
            </w:r>
          </w:p>
        </w:tc>
        <w:tc>
          <w:tcPr>
            <w:tcW w:w="632" w:type="dxa"/>
            <w:tcBorders>
              <w:tl2br w:val="nil"/>
              <w:tr2bl w:val="nil"/>
            </w:tcBorders>
            <w:vAlign w:val="center"/>
          </w:tcPr>
          <w:p>
            <w:pPr>
              <w:pStyle w:val="19"/>
              <w:bidi w:val="0"/>
              <w:rPr>
                <w:rFonts w:hint="eastAsia"/>
                <w:lang w:val="en-US" w:eastAsia="zh-CN"/>
              </w:rPr>
            </w:pPr>
            <w:r>
              <w:rPr>
                <w:rFonts w:hint="default"/>
                <w:lang w:val="en-US" w:eastAsia="zh-CN"/>
              </w:rPr>
              <w:t>废气治理</w:t>
            </w:r>
          </w:p>
        </w:tc>
        <w:tc>
          <w:tcPr>
            <w:tcW w:w="3115" w:type="dxa"/>
            <w:tcBorders>
              <w:tl2br w:val="nil"/>
              <w:tr2bl w:val="nil"/>
            </w:tcBorders>
            <w:vAlign w:val="center"/>
          </w:tcPr>
          <w:p>
            <w:pPr>
              <w:pStyle w:val="19"/>
              <w:bidi w:val="0"/>
              <w:rPr>
                <w:rFonts w:hint="default"/>
                <w:lang w:val="en-US" w:eastAsia="zh-CN"/>
              </w:rPr>
            </w:pPr>
            <w:r>
              <w:rPr>
                <w:rFonts w:hint="default"/>
                <w:lang w:val="en-US" w:eastAsia="zh-CN"/>
              </w:rPr>
              <w:t>密闭车间内负压收集+活性炭吸脱附装置-催化燃烧+15m高排气筒</w:t>
            </w:r>
          </w:p>
        </w:tc>
        <w:tc>
          <w:tcPr>
            <w:tcW w:w="3012"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4"/>
                <w:szCs w:val="21"/>
                <w:shd w:val="clear" w:color="auto" w:fill="FFFFFF"/>
                <w:vertAlign w:val="baseline"/>
                <w:lang w:val="en-US" w:eastAsia="zh-CN" w:bidi="ar-SA"/>
              </w:rPr>
            </w:pPr>
            <w:r>
              <w:rPr>
                <w:rFonts w:hint="default"/>
                <w:lang w:val="en-US" w:eastAsia="zh-CN"/>
              </w:rPr>
              <w:t>密闭车间内负压收集+活性炭吸脱附装置-催化燃烧+15m高排气筒</w:t>
            </w:r>
          </w:p>
        </w:tc>
        <w:tc>
          <w:tcPr>
            <w:tcW w:w="893" w:type="dxa"/>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pPr>
              <w:pStyle w:val="19"/>
              <w:bidi w:val="0"/>
              <w:rPr>
                <w:rFonts w:hint="eastAsia"/>
                <w:lang w:val="en-US" w:eastAsia="zh-CN"/>
              </w:rPr>
            </w:pPr>
          </w:p>
        </w:tc>
        <w:tc>
          <w:tcPr>
            <w:tcW w:w="568" w:type="dxa"/>
            <w:vMerge w:val="continue"/>
            <w:tcBorders>
              <w:tl2br w:val="nil"/>
              <w:tr2bl w:val="nil"/>
            </w:tcBorders>
            <w:vAlign w:val="center"/>
          </w:tcPr>
          <w:p>
            <w:pPr>
              <w:pStyle w:val="19"/>
              <w:bidi w:val="0"/>
              <w:rPr>
                <w:rFonts w:hint="eastAsia"/>
                <w:lang w:val="en-US" w:eastAsia="zh-CN"/>
              </w:rPr>
            </w:pPr>
          </w:p>
        </w:tc>
        <w:tc>
          <w:tcPr>
            <w:tcW w:w="632" w:type="dxa"/>
            <w:tcBorders>
              <w:tl2br w:val="nil"/>
              <w:tr2bl w:val="nil"/>
            </w:tcBorders>
            <w:vAlign w:val="center"/>
          </w:tcPr>
          <w:p>
            <w:pPr>
              <w:pStyle w:val="19"/>
              <w:bidi w:val="0"/>
              <w:rPr>
                <w:rFonts w:hint="eastAsia"/>
                <w:lang w:val="en-US" w:eastAsia="zh-CN"/>
              </w:rPr>
            </w:pPr>
            <w:r>
              <w:rPr>
                <w:rFonts w:hint="default"/>
                <w:lang w:val="en-US" w:eastAsia="zh-CN"/>
              </w:rPr>
              <w:t>废水治理</w:t>
            </w:r>
          </w:p>
        </w:tc>
        <w:tc>
          <w:tcPr>
            <w:tcW w:w="3115" w:type="dxa"/>
            <w:tcBorders>
              <w:tl2br w:val="nil"/>
              <w:tr2bl w:val="nil"/>
            </w:tcBorders>
            <w:vAlign w:val="center"/>
          </w:tcPr>
          <w:p>
            <w:pPr>
              <w:pStyle w:val="19"/>
              <w:bidi w:val="0"/>
              <w:rPr>
                <w:rFonts w:hint="default" w:ascii="Times New Roman" w:hAnsi="Times New Roman" w:eastAsia="宋体" w:cstheme="minorBidi"/>
                <w:bCs/>
                <w:kern w:val="2"/>
                <w:szCs w:val="21"/>
                <w:shd w:val="clear" w:color="auto" w:fill="FFFFFF"/>
                <w:vertAlign w:val="baseline"/>
                <w:lang w:val="en-US" w:eastAsia="zh-CN" w:bidi="ar-SA"/>
              </w:rPr>
            </w:pPr>
            <w:r>
              <w:rPr>
                <w:rFonts w:hint="eastAsia"/>
              </w:rPr>
              <w:t>生活污水</w:t>
            </w:r>
            <w:r>
              <w:rPr>
                <w:rFonts w:hint="eastAsia"/>
                <w:lang w:val="en-US" w:eastAsia="zh-CN"/>
              </w:rPr>
              <w:t>经化粪池处理后定期清运，不外排</w:t>
            </w:r>
            <w:r>
              <w:rPr>
                <w:rFonts w:hint="eastAsia"/>
              </w:rPr>
              <w:t>。</w:t>
            </w:r>
          </w:p>
        </w:tc>
        <w:tc>
          <w:tcPr>
            <w:tcW w:w="3012" w:type="dxa"/>
            <w:tcBorders>
              <w:tl2br w:val="nil"/>
              <w:tr2bl w:val="nil"/>
            </w:tcBorders>
            <w:vAlign w:val="center"/>
          </w:tcPr>
          <w:p>
            <w:pPr>
              <w:pStyle w:val="19"/>
              <w:bidi w:val="0"/>
              <w:rPr>
                <w:rFonts w:hint="default"/>
                <w:lang w:val="en-US" w:eastAsia="zh-CN"/>
              </w:rPr>
            </w:pPr>
            <w:r>
              <w:rPr>
                <w:rFonts w:hint="eastAsia"/>
              </w:rPr>
              <w:t>生活污水</w:t>
            </w:r>
            <w:r>
              <w:rPr>
                <w:rFonts w:hint="eastAsia"/>
                <w:lang w:val="en-US" w:eastAsia="zh-CN"/>
              </w:rPr>
              <w:t>经化粪池处理后定期清运，不外排</w:t>
            </w:r>
            <w:r>
              <w:rPr>
                <w:rFonts w:hint="eastAsia"/>
              </w:rPr>
              <w:t>。</w:t>
            </w:r>
          </w:p>
        </w:tc>
        <w:tc>
          <w:tcPr>
            <w:tcW w:w="893" w:type="dxa"/>
            <w:tcBorders>
              <w:tl2br w:val="nil"/>
              <w:tr2bl w:val="nil"/>
            </w:tcBorders>
            <w:vAlign w:val="center"/>
          </w:tcPr>
          <w:p>
            <w:pPr>
              <w:pStyle w:val="19"/>
              <w:bidi w:val="0"/>
              <w:rPr>
                <w:rFonts w:hint="default"/>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pPr>
              <w:pStyle w:val="19"/>
              <w:bidi w:val="0"/>
              <w:rPr>
                <w:rFonts w:hint="eastAsia"/>
                <w:lang w:val="en-US" w:eastAsia="zh-CN"/>
              </w:rPr>
            </w:pPr>
          </w:p>
        </w:tc>
        <w:tc>
          <w:tcPr>
            <w:tcW w:w="568" w:type="dxa"/>
            <w:vMerge w:val="continue"/>
            <w:tcBorders>
              <w:tl2br w:val="nil"/>
              <w:tr2bl w:val="nil"/>
            </w:tcBorders>
            <w:vAlign w:val="center"/>
          </w:tcPr>
          <w:p>
            <w:pPr>
              <w:pStyle w:val="19"/>
              <w:bidi w:val="0"/>
              <w:rPr>
                <w:rFonts w:hint="eastAsia"/>
                <w:lang w:val="en-US" w:eastAsia="zh-CN"/>
              </w:rPr>
            </w:pPr>
          </w:p>
        </w:tc>
        <w:tc>
          <w:tcPr>
            <w:tcW w:w="632" w:type="dxa"/>
            <w:tcBorders>
              <w:tl2br w:val="nil"/>
              <w:tr2bl w:val="nil"/>
            </w:tcBorders>
            <w:vAlign w:val="center"/>
          </w:tcPr>
          <w:p>
            <w:pPr>
              <w:pStyle w:val="19"/>
              <w:bidi w:val="0"/>
              <w:rPr>
                <w:rFonts w:hint="eastAsia"/>
                <w:lang w:val="en-US" w:eastAsia="zh-CN"/>
              </w:rPr>
            </w:pPr>
            <w:r>
              <w:rPr>
                <w:rFonts w:hint="default"/>
                <w:lang w:val="en-US" w:eastAsia="zh-CN"/>
              </w:rPr>
              <w:t>噪声治理</w:t>
            </w:r>
          </w:p>
        </w:tc>
        <w:tc>
          <w:tcPr>
            <w:tcW w:w="3115" w:type="dxa"/>
            <w:tcBorders>
              <w:tl2br w:val="nil"/>
              <w:tr2bl w:val="nil"/>
            </w:tcBorders>
            <w:vAlign w:val="center"/>
          </w:tcPr>
          <w:p>
            <w:pPr>
              <w:pStyle w:val="19"/>
              <w:bidi w:val="0"/>
              <w:ind w:firstLine="0" w:firstLineChars="0"/>
              <w:jc w:val="center"/>
              <w:rPr>
                <w:rFonts w:hint="default"/>
                <w:lang w:val="en-US" w:eastAsia="zh-CN"/>
              </w:rPr>
            </w:pPr>
            <w:r>
              <w:rPr>
                <w:rFonts w:hint="eastAsia"/>
                <w:lang w:val="zh-CN"/>
              </w:rPr>
              <w:t>基础减振、厂房隔声</w:t>
            </w:r>
          </w:p>
        </w:tc>
        <w:tc>
          <w:tcPr>
            <w:tcW w:w="3012" w:type="dxa"/>
            <w:tcBorders>
              <w:tl2br w:val="nil"/>
              <w:tr2bl w:val="nil"/>
            </w:tcBorders>
            <w:vAlign w:val="center"/>
          </w:tcPr>
          <w:p>
            <w:pPr>
              <w:pStyle w:val="19"/>
              <w:bidi w:val="0"/>
              <w:ind w:firstLine="0" w:firstLineChars="0"/>
              <w:jc w:val="center"/>
              <w:rPr>
                <w:rFonts w:hint="default"/>
                <w:lang w:val="en-US" w:eastAsia="zh-CN"/>
              </w:rPr>
            </w:pPr>
            <w:r>
              <w:rPr>
                <w:rFonts w:hint="eastAsia"/>
                <w:lang w:val="zh-CN"/>
              </w:rPr>
              <w:t>基础减振、厂房隔声</w:t>
            </w:r>
          </w:p>
        </w:tc>
        <w:tc>
          <w:tcPr>
            <w:tcW w:w="893" w:type="dxa"/>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pPr>
              <w:pStyle w:val="19"/>
              <w:bidi w:val="0"/>
              <w:rPr>
                <w:rFonts w:hint="eastAsia"/>
                <w:lang w:val="en-US" w:eastAsia="zh-CN"/>
              </w:rPr>
            </w:pPr>
          </w:p>
        </w:tc>
        <w:tc>
          <w:tcPr>
            <w:tcW w:w="568" w:type="dxa"/>
            <w:vMerge w:val="continue"/>
            <w:tcBorders>
              <w:tl2br w:val="nil"/>
              <w:tr2bl w:val="nil"/>
            </w:tcBorders>
            <w:vAlign w:val="center"/>
          </w:tcPr>
          <w:p>
            <w:pPr>
              <w:pStyle w:val="19"/>
              <w:bidi w:val="0"/>
              <w:rPr>
                <w:rFonts w:hint="eastAsia"/>
                <w:lang w:val="en-US" w:eastAsia="zh-CN"/>
              </w:rPr>
            </w:pPr>
          </w:p>
        </w:tc>
        <w:tc>
          <w:tcPr>
            <w:tcW w:w="632" w:type="dxa"/>
            <w:vMerge w:val="restart"/>
            <w:tcBorders>
              <w:tl2br w:val="nil"/>
              <w:tr2bl w:val="nil"/>
            </w:tcBorders>
            <w:vAlign w:val="center"/>
          </w:tcPr>
          <w:p>
            <w:pPr>
              <w:pStyle w:val="19"/>
              <w:bidi w:val="0"/>
              <w:rPr>
                <w:rFonts w:hint="eastAsia"/>
                <w:lang w:val="en-US" w:eastAsia="zh-CN"/>
              </w:rPr>
            </w:pPr>
            <w:r>
              <w:rPr>
                <w:rFonts w:hint="default"/>
                <w:lang w:val="en-US" w:eastAsia="zh-CN"/>
              </w:rPr>
              <w:t>固废治理</w:t>
            </w:r>
          </w:p>
        </w:tc>
        <w:tc>
          <w:tcPr>
            <w:tcW w:w="3115" w:type="dxa"/>
            <w:tcBorders>
              <w:tl2br w:val="nil"/>
              <w:tr2bl w:val="nil"/>
            </w:tcBorders>
            <w:vAlign w:val="center"/>
          </w:tcPr>
          <w:p>
            <w:pPr>
              <w:pStyle w:val="19"/>
              <w:bidi w:val="0"/>
              <w:rPr>
                <w:rFonts w:hint="eastAsia"/>
                <w:lang w:val="zh-CN"/>
              </w:rPr>
            </w:pPr>
            <w:r>
              <w:t>一般固废临时堆场1座（10m</w:t>
            </w:r>
            <w:r>
              <w:rPr>
                <w:vertAlign w:val="superscript"/>
              </w:rPr>
              <w:t>2</w:t>
            </w:r>
            <w:r>
              <w:t>）</w:t>
            </w:r>
          </w:p>
        </w:tc>
        <w:tc>
          <w:tcPr>
            <w:tcW w:w="3012" w:type="dxa"/>
            <w:tcBorders>
              <w:tl2br w:val="nil"/>
              <w:tr2bl w:val="nil"/>
            </w:tcBorders>
            <w:vAlign w:val="center"/>
          </w:tcPr>
          <w:p>
            <w:pPr>
              <w:pStyle w:val="19"/>
              <w:bidi w:val="0"/>
              <w:ind w:firstLine="0" w:firstLineChars="0"/>
              <w:jc w:val="center"/>
              <w:rPr>
                <w:rFonts w:hint="eastAsia"/>
                <w:lang w:val="zh-CN"/>
              </w:rPr>
            </w:pPr>
            <w:r>
              <w:t>一般固废临时堆场1座（10m</w:t>
            </w:r>
            <w:r>
              <w:rPr>
                <w:vertAlign w:val="superscript"/>
              </w:rPr>
              <w:t>2</w:t>
            </w:r>
            <w:r>
              <w:t>）</w:t>
            </w:r>
          </w:p>
        </w:tc>
        <w:tc>
          <w:tcPr>
            <w:tcW w:w="893" w:type="dxa"/>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pPr>
              <w:pStyle w:val="19"/>
              <w:bidi w:val="0"/>
              <w:rPr>
                <w:rFonts w:hint="eastAsia"/>
                <w:lang w:val="en-US" w:eastAsia="zh-CN"/>
              </w:rPr>
            </w:pPr>
          </w:p>
        </w:tc>
        <w:tc>
          <w:tcPr>
            <w:tcW w:w="568" w:type="dxa"/>
            <w:vMerge w:val="continue"/>
            <w:tcBorders>
              <w:tl2br w:val="nil"/>
              <w:tr2bl w:val="nil"/>
            </w:tcBorders>
            <w:vAlign w:val="center"/>
          </w:tcPr>
          <w:p>
            <w:pPr>
              <w:pStyle w:val="19"/>
              <w:bidi w:val="0"/>
              <w:rPr>
                <w:rFonts w:hint="eastAsia"/>
                <w:lang w:val="en-US" w:eastAsia="zh-CN"/>
              </w:rPr>
            </w:pPr>
          </w:p>
        </w:tc>
        <w:tc>
          <w:tcPr>
            <w:tcW w:w="632" w:type="dxa"/>
            <w:vMerge w:val="continue"/>
            <w:tcBorders>
              <w:tl2br w:val="nil"/>
              <w:tr2bl w:val="nil"/>
            </w:tcBorders>
            <w:vAlign w:val="center"/>
          </w:tcPr>
          <w:p>
            <w:pPr>
              <w:pStyle w:val="19"/>
              <w:bidi w:val="0"/>
              <w:rPr>
                <w:rFonts w:hint="eastAsia"/>
                <w:lang w:val="en-US" w:eastAsia="zh-CN"/>
              </w:rPr>
            </w:pPr>
          </w:p>
        </w:tc>
        <w:tc>
          <w:tcPr>
            <w:tcW w:w="3115" w:type="dxa"/>
            <w:tcBorders>
              <w:tl2br w:val="nil"/>
              <w:tr2bl w:val="nil"/>
            </w:tcBorders>
            <w:vAlign w:val="center"/>
          </w:tcPr>
          <w:p>
            <w:pPr>
              <w:pStyle w:val="19"/>
              <w:bidi w:val="0"/>
              <w:rPr>
                <w:rFonts w:hint="default"/>
                <w:lang w:val="en-US" w:eastAsia="zh-CN"/>
              </w:rPr>
            </w:pPr>
            <w:r>
              <w:t>危废暂存间1座（5m</w:t>
            </w:r>
            <w:r>
              <w:rPr>
                <w:vertAlign w:val="superscript"/>
              </w:rPr>
              <w:t>2</w:t>
            </w:r>
            <w:r>
              <w:t>）</w:t>
            </w:r>
          </w:p>
        </w:tc>
        <w:tc>
          <w:tcPr>
            <w:tcW w:w="3012" w:type="dxa"/>
            <w:tcBorders>
              <w:tl2br w:val="nil"/>
              <w:tr2bl w:val="nil"/>
            </w:tcBorders>
            <w:vAlign w:val="center"/>
          </w:tcPr>
          <w:p>
            <w:pPr>
              <w:pStyle w:val="19"/>
              <w:bidi w:val="0"/>
              <w:ind w:firstLine="0" w:firstLineChars="0"/>
              <w:jc w:val="center"/>
              <w:rPr>
                <w:rFonts w:hint="default"/>
                <w:lang w:val="en-US" w:eastAsia="zh-CN"/>
              </w:rPr>
            </w:pPr>
            <w:r>
              <w:t>危废暂存间1座（5m</w:t>
            </w:r>
            <w:r>
              <w:rPr>
                <w:vertAlign w:val="superscript"/>
              </w:rPr>
              <w:t>2</w:t>
            </w:r>
            <w:r>
              <w:t>）</w:t>
            </w:r>
          </w:p>
        </w:tc>
        <w:tc>
          <w:tcPr>
            <w:tcW w:w="893" w:type="dxa"/>
            <w:tcBorders>
              <w:tl2br w:val="nil"/>
              <w:tr2bl w:val="nil"/>
            </w:tcBorders>
            <w:vAlign w:val="center"/>
          </w:tcPr>
          <w:p>
            <w:pPr>
              <w:pStyle w:val="19"/>
              <w:bidi w:val="0"/>
              <w:rPr>
                <w:rFonts w:hint="default"/>
                <w:lang w:val="en-US" w:eastAsia="zh-CN"/>
              </w:rPr>
            </w:pPr>
            <w:r>
              <w:rPr>
                <w:rFonts w:hint="eastAsia"/>
                <w:lang w:val="en-US" w:eastAsia="zh-CN"/>
              </w:rPr>
              <w:t>一致</w:t>
            </w:r>
          </w:p>
        </w:tc>
      </w:tr>
    </w:tbl>
    <w:p>
      <w:pPr>
        <w:bidi w:val="0"/>
        <w:rPr>
          <w:rFonts w:hint="default"/>
          <w:color w:val="auto"/>
          <w:lang w:val="en-US" w:eastAsia="zh-CN"/>
        </w:rPr>
      </w:pPr>
      <w:bookmarkStart w:id="62" w:name="_Toc497001443"/>
      <w:bookmarkStart w:id="63" w:name="_Toc21109"/>
      <w:bookmarkStart w:id="64" w:name="_Toc22797"/>
      <w:bookmarkStart w:id="65" w:name="_Toc13968"/>
      <w:bookmarkStart w:id="66" w:name="_Toc333"/>
      <w:bookmarkStart w:id="67" w:name="_Toc496979007"/>
      <w:bookmarkStart w:id="68" w:name="_Toc18379"/>
      <w:r>
        <w:rPr>
          <w:rFonts w:hint="default"/>
          <w:color w:val="auto"/>
          <w:lang w:val="en-US" w:eastAsia="zh-CN"/>
        </w:rPr>
        <w:t>由表</w:t>
      </w:r>
      <w:r>
        <w:rPr>
          <w:rFonts w:hint="eastAsia"/>
          <w:color w:val="auto"/>
          <w:lang w:val="en-US" w:eastAsia="zh-CN"/>
        </w:rPr>
        <w:t>1－表2</w:t>
      </w:r>
      <w:r>
        <w:rPr>
          <w:rFonts w:hint="default"/>
          <w:color w:val="auto"/>
          <w:lang w:val="en-US" w:eastAsia="zh-CN"/>
        </w:rPr>
        <w:t>可</w:t>
      </w:r>
      <w:r>
        <w:rPr>
          <w:rFonts w:hint="eastAsia"/>
          <w:color w:val="auto"/>
          <w:lang w:val="en-US" w:eastAsia="zh-CN"/>
        </w:rPr>
        <w:t>知</w:t>
      </w:r>
      <w:r>
        <w:rPr>
          <w:rFonts w:hint="default"/>
          <w:color w:val="auto"/>
          <w:lang w:val="en-US" w:eastAsia="zh-CN"/>
        </w:rPr>
        <w:t>，</w:t>
      </w:r>
      <w:r>
        <w:rPr>
          <w:rFonts w:hint="eastAsia"/>
          <w:color w:val="auto"/>
          <w:lang w:val="en-US" w:eastAsia="zh-CN"/>
        </w:rPr>
        <w:t>因本次验收的一期</w:t>
      </w:r>
      <w:r>
        <w:rPr>
          <w:rFonts w:hint="default"/>
          <w:color w:val="auto"/>
          <w:lang w:val="en-US" w:eastAsia="zh-CN"/>
        </w:rPr>
        <w:t>项目实际建设</w:t>
      </w:r>
      <w:r>
        <w:rPr>
          <w:rFonts w:hint="eastAsia"/>
          <w:color w:val="auto"/>
          <w:lang w:val="en-US" w:eastAsia="zh-CN"/>
        </w:rPr>
        <w:t>过程中产能降低，导致投资额、产品方案、员工人数相应降低，其他</w:t>
      </w:r>
      <w:r>
        <w:rPr>
          <w:rFonts w:hint="default"/>
          <w:color w:val="auto"/>
          <w:lang w:val="en-US" w:eastAsia="zh-CN"/>
        </w:rPr>
        <w:t>内容与环评及批复</w:t>
      </w:r>
      <w:r>
        <w:rPr>
          <w:rFonts w:hint="eastAsia"/>
          <w:color w:val="auto"/>
          <w:lang w:val="en-US" w:eastAsia="zh-CN"/>
        </w:rPr>
        <w:t>一致。</w:t>
      </w:r>
    </w:p>
    <w:bookmarkEnd w:id="62"/>
    <w:bookmarkEnd w:id="63"/>
    <w:bookmarkEnd w:id="64"/>
    <w:bookmarkEnd w:id="65"/>
    <w:bookmarkEnd w:id="66"/>
    <w:bookmarkEnd w:id="67"/>
    <w:bookmarkEnd w:id="68"/>
    <w:p>
      <w:pPr>
        <w:pStyle w:val="3"/>
        <w:bidi w:val="0"/>
        <w:rPr>
          <w:rFonts w:hint="default"/>
          <w:lang w:val="en-US" w:eastAsia="zh-CN"/>
        </w:rPr>
      </w:pPr>
      <w:bookmarkStart w:id="69" w:name="_Toc26257"/>
      <w:bookmarkStart w:id="70" w:name="_Toc23932"/>
      <w:bookmarkStart w:id="71" w:name="_Toc7216"/>
      <w:bookmarkStart w:id="72" w:name="_Toc8104"/>
      <w:bookmarkStart w:id="73" w:name="_Toc4737"/>
      <w:bookmarkStart w:id="74" w:name="_Toc24118"/>
      <w:bookmarkStart w:id="75" w:name="_Toc497001444"/>
      <w:r>
        <w:rPr>
          <w:rFonts w:hint="default"/>
          <w:lang w:val="en-US" w:eastAsia="zh-CN"/>
        </w:rPr>
        <w:t>主要原辅材料</w:t>
      </w:r>
      <w:bookmarkEnd w:id="69"/>
      <w:bookmarkEnd w:id="70"/>
      <w:bookmarkEnd w:id="71"/>
      <w:bookmarkEnd w:id="72"/>
      <w:bookmarkEnd w:id="73"/>
      <w:bookmarkEnd w:id="74"/>
    </w:p>
    <w:p>
      <w:pPr>
        <w:bidi w:val="0"/>
        <w:rPr>
          <w:rFonts w:hint="eastAsia" w:eastAsia="宋体"/>
          <w:lang w:eastAsia="zh-CN"/>
        </w:rPr>
      </w:pPr>
      <w:r>
        <w:rPr>
          <w:rFonts w:hint="eastAsia"/>
          <w:lang w:eastAsia="zh-CN"/>
        </w:rPr>
        <w:t>项目</w:t>
      </w:r>
      <w:r>
        <w:rPr>
          <w:rFonts w:hint="default"/>
          <w:lang w:val="en-GB"/>
        </w:rPr>
        <w:t>原辅材料</w:t>
      </w:r>
      <w:r>
        <w:rPr>
          <w:rFonts w:hint="default"/>
          <w:lang w:val="en-GB" w:eastAsia="zh-CN"/>
        </w:rPr>
        <w:t>消耗</w:t>
      </w:r>
      <w:r>
        <w:rPr>
          <w:rFonts w:hint="default"/>
          <w:lang w:val="en-GB"/>
        </w:rPr>
        <w:t>见</w:t>
      </w:r>
      <w:r>
        <w:rPr>
          <w:rFonts w:hint="eastAsia"/>
          <w:lang w:val="en-US" w:eastAsia="zh-CN"/>
        </w:rPr>
        <w:t>下</w:t>
      </w:r>
      <w:r>
        <w:rPr>
          <w:rFonts w:hint="default"/>
          <w:lang w:val="en-GB"/>
        </w:rPr>
        <w:t>表</w:t>
      </w:r>
      <w:r>
        <w:rPr>
          <w:rFonts w:hint="eastAsia"/>
          <w:lang w:val="en-GB" w:eastAsia="zh-CN"/>
        </w:rPr>
        <w:t>：</w:t>
      </w:r>
    </w:p>
    <w:p>
      <w:pPr>
        <w:pStyle w:val="20"/>
        <w:bidi w:val="0"/>
        <w:rPr>
          <w:rFonts w:hint="eastAsia"/>
          <w:lang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项目（一期）</w:t>
      </w:r>
      <w:r>
        <w:rPr>
          <w:rFonts w:hint="default"/>
        </w:rPr>
        <w:t>原辅材料消耗</w:t>
      </w:r>
      <w:r>
        <w:rPr>
          <w:rFonts w:hint="eastAsia"/>
          <w:lang w:val="en-US" w:eastAsia="zh-CN"/>
        </w:rPr>
        <w:t>情况</w:t>
      </w:r>
    </w:p>
    <w:bookmarkEnd w:id="75"/>
    <w:tbl>
      <w:tblPr>
        <w:tblStyle w:val="16"/>
        <w:tblW w:w="82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1"/>
        <w:gridCol w:w="588"/>
        <w:gridCol w:w="1542"/>
        <w:gridCol w:w="2025"/>
        <w:gridCol w:w="1962"/>
        <w:gridCol w:w="13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9" w:type="dxa"/>
            <w:gridSpan w:val="2"/>
            <w:tcBorders>
              <w:tl2br w:val="nil"/>
              <w:tr2bl w:val="nil"/>
            </w:tcBorders>
            <w:vAlign w:val="center"/>
          </w:tcPr>
          <w:p>
            <w:pPr>
              <w:pStyle w:val="19"/>
              <w:bidi w:val="0"/>
              <w:rPr>
                <w:rFonts w:hint="default"/>
                <w:b/>
                <w:bCs w:val="0"/>
                <w:lang w:val="en-US" w:eastAsia="zh-CN"/>
              </w:rPr>
            </w:pPr>
            <w:bookmarkStart w:id="76" w:name="_Toc13875"/>
            <w:bookmarkStart w:id="77" w:name="_Toc3641"/>
            <w:bookmarkStart w:id="78" w:name="_Toc24086"/>
            <w:bookmarkStart w:id="79" w:name="_Toc29897"/>
            <w:bookmarkStart w:id="80" w:name="_Toc29408"/>
            <w:r>
              <w:rPr>
                <w:rFonts w:hint="default"/>
                <w:b/>
                <w:bCs w:val="0"/>
                <w:lang w:val="en-US" w:eastAsia="zh-CN"/>
              </w:rPr>
              <w:t>序号</w:t>
            </w:r>
          </w:p>
        </w:tc>
        <w:tc>
          <w:tcPr>
            <w:tcW w:w="1542"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名称</w:t>
            </w:r>
          </w:p>
        </w:tc>
        <w:tc>
          <w:tcPr>
            <w:tcW w:w="2025" w:type="dxa"/>
            <w:tcBorders>
              <w:tl2br w:val="nil"/>
              <w:tr2bl w:val="nil"/>
            </w:tcBorders>
            <w:vAlign w:val="center"/>
          </w:tcPr>
          <w:p>
            <w:pPr>
              <w:pStyle w:val="19"/>
              <w:bidi w:val="0"/>
              <w:rPr>
                <w:rFonts w:hint="default"/>
                <w:b/>
                <w:bCs w:val="0"/>
                <w:lang w:val="en-US" w:eastAsia="zh-CN"/>
              </w:rPr>
            </w:pPr>
            <w:r>
              <w:rPr>
                <w:rFonts w:hint="eastAsia"/>
                <w:b/>
                <w:bCs w:val="0"/>
                <w:lang w:val="en-US" w:eastAsia="zh-CN"/>
              </w:rPr>
              <w:t>环评报告中年用</w:t>
            </w:r>
            <w:r>
              <w:rPr>
                <w:rFonts w:hint="default"/>
                <w:b/>
                <w:bCs w:val="0"/>
                <w:lang w:val="en-US" w:eastAsia="zh-CN"/>
              </w:rPr>
              <w:t>量</w:t>
            </w:r>
          </w:p>
        </w:tc>
        <w:tc>
          <w:tcPr>
            <w:tcW w:w="1962" w:type="dxa"/>
            <w:tcBorders>
              <w:tl2br w:val="nil"/>
              <w:tr2bl w:val="nil"/>
            </w:tcBorders>
            <w:vAlign w:val="center"/>
          </w:tcPr>
          <w:p>
            <w:pPr>
              <w:pStyle w:val="19"/>
              <w:bidi w:val="0"/>
              <w:rPr>
                <w:rFonts w:hint="eastAsia"/>
                <w:b/>
                <w:bCs w:val="0"/>
                <w:lang w:val="en-US" w:eastAsia="zh-CN"/>
              </w:rPr>
            </w:pPr>
            <w:r>
              <w:rPr>
                <w:rFonts w:hint="eastAsia"/>
                <w:b/>
                <w:bCs w:val="0"/>
                <w:lang w:val="en-US" w:eastAsia="zh-CN"/>
              </w:rPr>
              <w:t>项目</w:t>
            </w:r>
            <w:r>
              <w:rPr>
                <w:rFonts w:hint="default"/>
                <w:b/>
                <w:bCs w:val="0"/>
                <w:lang w:val="en-US" w:eastAsia="zh-CN"/>
              </w:rPr>
              <w:t>实际年用量</w:t>
            </w:r>
          </w:p>
        </w:tc>
        <w:tc>
          <w:tcPr>
            <w:tcW w:w="1363" w:type="dxa"/>
            <w:tcBorders>
              <w:tl2br w:val="nil"/>
              <w:tr2bl w:val="nil"/>
            </w:tcBorders>
            <w:vAlign w:val="center"/>
          </w:tcPr>
          <w:p>
            <w:pPr>
              <w:pStyle w:val="19"/>
              <w:bidi w:val="0"/>
              <w:rPr>
                <w:rFonts w:hint="eastAsia"/>
                <w:b/>
                <w:bCs w:val="0"/>
                <w:lang w:val="en-US" w:eastAsia="zh-CN"/>
              </w:rPr>
            </w:pPr>
            <w:r>
              <w:rPr>
                <w:rFonts w:hint="default"/>
                <w:b/>
                <w:bCs w:val="0"/>
                <w:lang w:val="en-US" w:eastAsia="zh-CN"/>
              </w:rPr>
              <w:t>与环评报告的一致性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tcBorders>
              <w:tl2br w:val="nil"/>
              <w:tr2bl w:val="nil"/>
            </w:tcBorders>
            <w:vAlign w:val="center"/>
          </w:tcPr>
          <w:p>
            <w:pPr>
              <w:pStyle w:val="19"/>
              <w:bidi w:val="0"/>
              <w:rPr>
                <w:rFonts w:hint="eastAsia"/>
                <w:lang w:val="en-US" w:eastAsia="zh-CN"/>
              </w:rPr>
            </w:pPr>
            <w:r>
              <w:rPr>
                <w:rFonts w:hint="eastAsia"/>
                <w:lang w:val="en-US" w:eastAsia="zh-CN"/>
              </w:rPr>
              <w:t>原辅材料</w:t>
            </w:r>
          </w:p>
        </w:tc>
        <w:tc>
          <w:tcPr>
            <w:tcW w:w="588" w:type="dxa"/>
            <w:tcBorders>
              <w:tl2br w:val="nil"/>
              <w:tr2bl w:val="nil"/>
            </w:tcBorders>
            <w:vAlign w:val="center"/>
          </w:tcPr>
          <w:p>
            <w:pPr>
              <w:pStyle w:val="19"/>
              <w:bidi w:val="0"/>
              <w:rPr>
                <w:rFonts w:hint="eastAsia"/>
                <w:lang w:val="pt-BR" w:eastAsia="zh-CN"/>
              </w:rPr>
            </w:pPr>
            <w:r>
              <w:rPr>
                <w:rFonts w:hint="eastAsia"/>
                <w:lang w:val="en-US" w:eastAsia="zh-CN"/>
              </w:rPr>
              <w:t>1</w:t>
            </w:r>
          </w:p>
        </w:tc>
        <w:tc>
          <w:tcPr>
            <w:tcW w:w="1542" w:type="dxa"/>
            <w:tcBorders>
              <w:tl2br w:val="nil"/>
              <w:tr2bl w:val="nil"/>
            </w:tcBorders>
            <w:vAlign w:val="center"/>
          </w:tcPr>
          <w:p>
            <w:pPr>
              <w:pStyle w:val="19"/>
              <w:bidi w:val="0"/>
              <w:rPr>
                <w:rFonts w:hint="eastAsia"/>
                <w:lang w:val="en-US" w:eastAsia="zh-CN"/>
              </w:rPr>
            </w:pPr>
            <w:r>
              <w:rPr>
                <w:rFonts w:hint="eastAsia"/>
              </w:rPr>
              <w:t>P</w:t>
            </w:r>
            <w:r>
              <w:t>P</w:t>
            </w:r>
          </w:p>
        </w:tc>
        <w:tc>
          <w:tcPr>
            <w:tcW w:w="2025" w:type="dxa"/>
            <w:tcBorders>
              <w:tl2br w:val="nil"/>
              <w:tr2bl w:val="nil"/>
            </w:tcBorders>
            <w:vAlign w:val="center"/>
          </w:tcPr>
          <w:p>
            <w:pPr>
              <w:pStyle w:val="19"/>
              <w:bidi w:val="0"/>
              <w:rPr>
                <w:rFonts w:hint="default"/>
                <w:lang w:val="en-US" w:eastAsia="zh-CN"/>
              </w:rPr>
            </w:pPr>
            <w:r>
              <w:rPr>
                <w:rFonts w:hint="eastAsia"/>
                <w:lang w:val="en-US" w:eastAsia="zh-CN"/>
              </w:rPr>
              <w:t>6</w:t>
            </w:r>
            <w:r>
              <w:rPr>
                <w:lang w:val="pt-BR"/>
              </w:rPr>
              <w:t>00t/a</w:t>
            </w:r>
          </w:p>
        </w:tc>
        <w:tc>
          <w:tcPr>
            <w:tcW w:w="1962" w:type="dxa"/>
            <w:tcBorders>
              <w:tl2br w:val="nil"/>
              <w:tr2bl w:val="nil"/>
            </w:tcBorders>
            <w:vAlign w:val="center"/>
          </w:tcPr>
          <w:p>
            <w:pPr>
              <w:pStyle w:val="19"/>
              <w:bidi w:val="0"/>
              <w:rPr>
                <w:rFonts w:hint="default"/>
                <w:lang w:val="en-US" w:eastAsia="zh-CN"/>
              </w:rPr>
            </w:pPr>
            <w:r>
              <w:rPr>
                <w:lang w:val="pt-BR"/>
              </w:rPr>
              <w:t>300t/a</w:t>
            </w:r>
          </w:p>
        </w:tc>
        <w:tc>
          <w:tcPr>
            <w:tcW w:w="1363" w:type="dxa"/>
            <w:tcBorders>
              <w:tl2br w:val="nil"/>
              <w:tr2bl w:val="nil"/>
            </w:tcBorders>
            <w:vAlign w:val="center"/>
          </w:tcPr>
          <w:p>
            <w:pPr>
              <w:pStyle w:val="19"/>
              <w:bidi w:val="0"/>
              <w:rPr>
                <w:rFonts w:hint="default"/>
                <w:lang w:val="en-US" w:eastAsia="zh-CN"/>
              </w:rPr>
            </w:pPr>
            <w:r>
              <w:rPr>
                <w:rFonts w:hint="eastAsia"/>
                <w:lang w:val="en-US" w:eastAsia="zh-CN"/>
              </w:rPr>
              <w:t>实际建设产能降低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tcBorders>
              <w:tl2br w:val="nil"/>
              <w:tr2bl w:val="nil"/>
            </w:tcBorders>
            <w:vAlign w:val="center"/>
          </w:tcPr>
          <w:p>
            <w:pPr>
              <w:pStyle w:val="19"/>
              <w:bidi w:val="0"/>
              <w:rPr>
                <w:rFonts w:hint="eastAsia"/>
                <w:lang w:val="en-US" w:eastAsia="zh-CN"/>
              </w:rPr>
            </w:pPr>
          </w:p>
        </w:tc>
        <w:tc>
          <w:tcPr>
            <w:tcW w:w="588" w:type="dxa"/>
            <w:tcBorders>
              <w:tl2br w:val="nil"/>
              <w:tr2bl w:val="nil"/>
            </w:tcBorders>
            <w:vAlign w:val="center"/>
          </w:tcPr>
          <w:p>
            <w:pPr>
              <w:pStyle w:val="19"/>
              <w:bidi w:val="0"/>
              <w:rPr>
                <w:rFonts w:hint="default"/>
                <w:lang w:val="en-US" w:eastAsia="zh-CN"/>
              </w:rPr>
            </w:pPr>
            <w:r>
              <w:rPr>
                <w:rFonts w:hint="eastAsia"/>
                <w:lang w:val="en-US" w:eastAsia="zh-CN"/>
              </w:rPr>
              <w:t>2</w:t>
            </w:r>
          </w:p>
        </w:tc>
        <w:tc>
          <w:tcPr>
            <w:tcW w:w="1542" w:type="dxa"/>
            <w:tcBorders>
              <w:tl2br w:val="nil"/>
              <w:tr2bl w:val="nil"/>
            </w:tcBorders>
            <w:vAlign w:val="center"/>
          </w:tcPr>
          <w:p>
            <w:pPr>
              <w:pStyle w:val="19"/>
              <w:bidi w:val="0"/>
              <w:rPr>
                <w:rFonts w:hint="eastAsia"/>
                <w:lang w:val="en-US" w:eastAsia="zh-CN"/>
              </w:rPr>
            </w:pPr>
            <w:r>
              <w:rPr>
                <w:rFonts w:hint="eastAsia"/>
              </w:rPr>
              <w:t>P</w:t>
            </w:r>
            <w:r>
              <w:t>BT</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4</w:t>
            </w:r>
            <w:r>
              <w:rPr>
                <w:lang w:val="pt-BR"/>
              </w:rPr>
              <w:t>0t/a</w:t>
            </w:r>
          </w:p>
        </w:tc>
        <w:tc>
          <w:tcPr>
            <w:tcW w:w="1962" w:type="dxa"/>
            <w:tcBorders>
              <w:tl2br w:val="nil"/>
              <w:tr2bl w:val="nil"/>
            </w:tcBorders>
            <w:vAlign w:val="center"/>
          </w:tcPr>
          <w:p>
            <w:pPr>
              <w:pStyle w:val="19"/>
              <w:bidi w:val="0"/>
              <w:rPr>
                <w:rFonts w:hint="eastAsia"/>
                <w:lang w:val="en-US" w:eastAsia="zh-CN"/>
              </w:rPr>
            </w:pPr>
            <w:r>
              <w:rPr>
                <w:lang w:val="pt-BR"/>
              </w:rPr>
              <w:t>20t/a</w:t>
            </w:r>
          </w:p>
        </w:tc>
        <w:tc>
          <w:tcPr>
            <w:tcW w:w="1363" w:type="dxa"/>
            <w:tcBorders>
              <w:tl2br w:val="nil"/>
              <w:tr2bl w:val="nil"/>
            </w:tcBorders>
            <w:vAlign w:val="center"/>
          </w:tcPr>
          <w:p>
            <w:pPr>
              <w:pStyle w:val="19"/>
              <w:bidi w:val="0"/>
              <w:rPr>
                <w:rFonts w:hint="eastAsia"/>
                <w:lang w:val="en-US" w:eastAsia="zh-CN"/>
              </w:rPr>
            </w:pPr>
            <w:r>
              <w:rPr>
                <w:rFonts w:hint="eastAsia"/>
                <w:lang w:val="en-US" w:eastAsia="zh-CN"/>
              </w:rPr>
              <w:t>实际建设产能降低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tcBorders>
              <w:tl2br w:val="nil"/>
              <w:tr2bl w:val="nil"/>
            </w:tcBorders>
            <w:vAlign w:val="center"/>
          </w:tcPr>
          <w:p>
            <w:pPr>
              <w:pStyle w:val="19"/>
              <w:bidi w:val="0"/>
              <w:rPr>
                <w:rFonts w:hint="eastAsia"/>
                <w:lang w:val="en-US" w:eastAsia="zh-CN"/>
              </w:rPr>
            </w:pPr>
          </w:p>
        </w:tc>
        <w:tc>
          <w:tcPr>
            <w:tcW w:w="588" w:type="dxa"/>
            <w:tcBorders>
              <w:tl2br w:val="nil"/>
              <w:tr2bl w:val="nil"/>
            </w:tcBorders>
            <w:vAlign w:val="center"/>
          </w:tcPr>
          <w:p>
            <w:pPr>
              <w:pStyle w:val="19"/>
              <w:bidi w:val="0"/>
              <w:rPr>
                <w:rFonts w:hint="default"/>
                <w:lang w:val="en-US" w:eastAsia="zh-CN"/>
              </w:rPr>
            </w:pPr>
            <w:r>
              <w:rPr>
                <w:rFonts w:hint="eastAsia"/>
                <w:lang w:val="en-US" w:eastAsia="zh-CN"/>
              </w:rPr>
              <w:t>3</w:t>
            </w:r>
          </w:p>
        </w:tc>
        <w:tc>
          <w:tcPr>
            <w:tcW w:w="1542" w:type="dxa"/>
            <w:tcBorders>
              <w:tl2br w:val="nil"/>
              <w:tr2bl w:val="nil"/>
            </w:tcBorders>
            <w:vAlign w:val="center"/>
          </w:tcPr>
          <w:p>
            <w:pPr>
              <w:pStyle w:val="19"/>
              <w:bidi w:val="0"/>
              <w:rPr>
                <w:rFonts w:hint="eastAsia"/>
                <w:lang w:val="en-US" w:eastAsia="zh-CN"/>
              </w:rPr>
            </w:pPr>
            <w:r>
              <w:t>色母</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2</w:t>
            </w:r>
            <w:r>
              <w:rPr>
                <w:lang w:val="pt-BR"/>
              </w:rPr>
              <w:t>t/a</w:t>
            </w:r>
          </w:p>
        </w:tc>
        <w:tc>
          <w:tcPr>
            <w:tcW w:w="1962" w:type="dxa"/>
            <w:tcBorders>
              <w:tl2br w:val="nil"/>
              <w:tr2bl w:val="nil"/>
            </w:tcBorders>
            <w:vAlign w:val="center"/>
          </w:tcPr>
          <w:p>
            <w:pPr>
              <w:pStyle w:val="19"/>
              <w:bidi w:val="0"/>
              <w:rPr>
                <w:rFonts w:hint="eastAsia"/>
                <w:lang w:val="en-US" w:eastAsia="zh-CN"/>
              </w:rPr>
            </w:pPr>
            <w:r>
              <w:rPr>
                <w:lang w:val="pt-BR"/>
              </w:rPr>
              <w:t>1t/a</w:t>
            </w:r>
          </w:p>
        </w:tc>
        <w:tc>
          <w:tcPr>
            <w:tcW w:w="1363" w:type="dxa"/>
            <w:tcBorders>
              <w:tl2br w:val="nil"/>
              <w:tr2bl w:val="nil"/>
            </w:tcBorders>
            <w:vAlign w:val="center"/>
          </w:tcPr>
          <w:p>
            <w:pPr>
              <w:pStyle w:val="19"/>
              <w:bidi w:val="0"/>
              <w:rPr>
                <w:rFonts w:hint="eastAsia"/>
                <w:lang w:val="en-US" w:eastAsia="zh-CN"/>
              </w:rPr>
            </w:pPr>
            <w:r>
              <w:rPr>
                <w:rFonts w:hint="eastAsia"/>
                <w:lang w:val="en-US" w:eastAsia="zh-CN"/>
              </w:rPr>
              <w:t>实际建设产能降低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restart"/>
            <w:tcBorders>
              <w:tl2br w:val="nil"/>
              <w:tr2bl w:val="nil"/>
            </w:tcBorders>
            <w:vAlign w:val="center"/>
          </w:tcPr>
          <w:p>
            <w:pPr>
              <w:pStyle w:val="19"/>
              <w:bidi w:val="0"/>
              <w:rPr>
                <w:rFonts w:hint="eastAsia"/>
                <w:lang w:val="en-US" w:eastAsia="zh-CN"/>
              </w:rPr>
            </w:pPr>
            <w:r>
              <w:rPr>
                <w:rFonts w:hint="eastAsia"/>
                <w:lang w:val="en-US" w:eastAsia="zh-CN"/>
              </w:rPr>
              <w:t>能耗</w:t>
            </w:r>
          </w:p>
        </w:tc>
        <w:tc>
          <w:tcPr>
            <w:tcW w:w="588" w:type="dxa"/>
            <w:tcBorders>
              <w:tl2br w:val="nil"/>
              <w:tr2bl w:val="nil"/>
            </w:tcBorders>
            <w:vAlign w:val="center"/>
          </w:tcPr>
          <w:p>
            <w:pPr>
              <w:pStyle w:val="19"/>
              <w:bidi w:val="0"/>
              <w:rPr>
                <w:rFonts w:hint="eastAsia"/>
                <w:lang w:val="en-US" w:eastAsia="zh-CN"/>
              </w:rPr>
            </w:pPr>
            <w:r>
              <w:rPr>
                <w:rFonts w:hint="eastAsia"/>
                <w:lang w:val="en-US" w:eastAsia="zh-CN"/>
              </w:rPr>
              <w:t>4</w:t>
            </w:r>
          </w:p>
        </w:tc>
        <w:tc>
          <w:tcPr>
            <w:tcW w:w="1542" w:type="dxa"/>
            <w:tcBorders>
              <w:tl2br w:val="nil"/>
              <w:tr2bl w:val="nil"/>
            </w:tcBorders>
            <w:vAlign w:val="center"/>
          </w:tcPr>
          <w:p>
            <w:pPr>
              <w:pStyle w:val="19"/>
              <w:bidi w:val="0"/>
              <w:rPr>
                <w:rFonts w:hint="eastAsia"/>
                <w:lang w:val="en-US" w:eastAsia="zh-CN"/>
              </w:rPr>
            </w:pPr>
            <w:r>
              <w:rPr>
                <w:rFonts w:hint="eastAsia"/>
                <w:lang w:val="en-US" w:eastAsia="zh-CN"/>
              </w:rPr>
              <w:t>新鲜水</w:t>
            </w:r>
          </w:p>
        </w:tc>
        <w:tc>
          <w:tcPr>
            <w:tcW w:w="2025" w:type="dxa"/>
            <w:vMerge w:val="restart"/>
            <w:tcBorders>
              <w:tl2br w:val="nil"/>
              <w:tr2bl w:val="nil"/>
            </w:tcBorders>
            <w:vAlign w:val="center"/>
          </w:tcPr>
          <w:p>
            <w:pPr>
              <w:pStyle w:val="19"/>
              <w:bidi w:val="0"/>
              <w:rPr>
                <w:rFonts w:hint="eastAsia"/>
                <w:lang w:val="en-US" w:eastAsia="zh-CN"/>
              </w:rPr>
            </w:pPr>
            <w:r>
              <w:rPr>
                <w:rFonts w:hint="eastAsia"/>
                <w:lang w:val="en-US" w:eastAsia="zh-CN"/>
              </w:rPr>
              <w:t>200</w:t>
            </w:r>
            <w:r>
              <w:rPr>
                <w:lang w:val="pt-BR"/>
              </w:rPr>
              <w:t>t/a</w:t>
            </w:r>
          </w:p>
        </w:tc>
        <w:tc>
          <w:tcPr>
            <w:tcW w:w="1962" w:type="dxa"/>
            <w:tcBorders>
              <w:tl2br w:val="nil"/>
              <w:tr2bl w:val="nil"/>
            </w:tcBorders>
            <w:vAlign w:val="center"/>
          </w:tcPr>
          <w:p>
            <w:pPr>
              <w:pStyle w:val="19"/>
              <w:bidi w:val="0"/>
              <w:rPr>
                <w:rFonts w:hint="eastAsia"/>
                <w:lang w:val="en-US" w:eastAsia="zh-CN"/>
              </w:rPr>
            </w:pPr>
            <w:r>
              <w:rPr>
                <w:lang w:val="pt-BR"/>
              </w:rPr>
              <w:t>1</w:t>
            </w:r>
            <w:r>
              <w:rPr>
                <w:rFonts w:hint="eastAsia"/>
                <w:lang w:val="en-US" w:eastAsia="zh-CN"/>
              </w:rPr>
              <w:t>12.5</w:t>
            </w:r>
            <w:r>
              <w:rPr>
                <w:lang w:val="pt-BR"/>
              </w:rPr>
              <w:t>t/a</w:t>
            </w:r>
          </w:p>
        </w:tc>
        <w:tc>
          <w:tcPr>
            <w:tcW w:w="1363" w:type="dxa"/>
            <w:vMerge w:val="restart"/>
            <w:tcBorders>
              <w:tl2br w:val="nil"/>
              <w:tr2bl w:val="nil"/>
            </w:tcBorders>
            <w:vAlign w:val="center"/>
          </w:tcPr>
          <w:p>
            <w:pPr>
              <w:pStyle w:val="19"/>
              <w:bidi w:val="0"/>
              <w:rPr>
                <w:rFonts w:hint="default"/>
                <w:lang w:val="en-US" w:eastAsia="zh-CN"/>
              </w:rPr>
            </w:pPr>
            <w:r>
              <w:rPr>
                <w:rFonts w:hint="eastAsia"/>
                <w:lang w:val="en-US" w:eastAsia="zh-CN"/>
              </w:rPr>
              <w:t>实际建设产能降低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tcBorders>
              <w:tl2br w:val="nil"/>
              <w:tr2bl w:val="nil"/>
            </w:tcBorders>
            <w:vAlign w:val="center"/>
          </w:tcPr>
          <w:p>
            <w:pPr>
              <w:pStyle w:val="19"/>
              <w:bidi w:val="0"/>
              <w:rPr>
                <w:rFonts w:hint="eastAsia"/>
                <w:lang w:val="en-US" w:eastAsia="zh-CN"/>
              </w:rPr>
            </w:pPr>
          </w:p>
        </w:tc>
        <w:tc>
          <w:tcPr>
            <w:tcW w:w="588" w:type="dxa"/>
            <w:tcBorders>
              <w:tl2br w:val="nil"/>
              <w:tr2bl w:val="nil"/>
            </w:tcBorders>
            <w:vAlign w:val="center"/>
          </w:tcPr>
          <w:p>
            <w:pPr>
              <w:pStyle w:val="19"/>
              <w:bidi w:val="0"/>
              <w:rPr>
                <w:rFonts w:hint="default"/>
                <w:lang w:val="en-US" w:eastAsia="zh-CN"/>
              </w:rPr>
            </w:pPr>
            <w:r>
              <w:rPr>
                <w:rFonts w:hint="eastAsia"/>
                <w:lang w:val="en-US" w:eastAsia="zh-CN"/>
              </w:rPr>
              <w:t>5</w:t>
            </w:r>
          </w:p>
        </w:tc>
        <w:tc>
          <w:tcPr>
            <w:tcW w:w="1542" w:type="dxa"/>
            <w:tcBorders>
              <w:tl2br w:val="nil"/>
              <w:tr2bl w:val="nil"/>
            </w:tcBorders>
            <w:vAlign w:val="center"/>
          </w:tcPr>
          <w:p>
            <w:pPr>
              <w:pStyle w:val="19"/>
              <w:bidi w:val="0"/>
              <w:rPr>
                <w:rFonts w:hint="default"/>
                <w:lang w:val="en-US" w:eastAsia="zh-CN"/>
              </w:rPr>
            </w:pPr>
            <w:r>
              <w:rPr>
                <w:rFonts w:hint="eastAsia"/>
                <w:lang w:val="en-US" w:eastAsia="zh-CN"/>
              </w:rPr>
              <w:t>外购纯水</w:t>
            </w:r>
          </w:p>
        </w:tc>
        <w:tc>
          <w:tcPr>
            <w:tcW w:w="2025" w:type="dxa"/>
            <w:vMerge w:val="continue"/>
            <w:tcBorders>
              <w:tl2br w:val="nil"/>
              <w:tr2bl w:val="nil"/>
            </w:tcBorders>
            <w:vAlign w:val="center"/>
          </w:tcPr>
          <w:p>
            <w:pPr>
              <w:pStyle w:val="19"/>
              <w:bidi w:val="0"/>
              <w:rPr>
                <w:rFonts w:hint="eastAsia"/>
                <w:lang w:val="en-US" w:eastAsia="zh-CN"/>
              </w:rPr>
            </w:pPr>
          </w:p>
        </w:tc>
        <w:tc>
          <w:tcPr>
            <w:tcW w:w="1962" w:type="dxa"/>
            <w:tcBorders>
              <w:tl2br w:val="nil"/>
              <w:tr2bl w:val="nil"/>
            </w:tcBorders>
            <w:vAlign w:val="center"/>
          </w:tcPr>
          <w:p>
            <w:pPr>
              <w:pStyle w:val="19"/>
              <w:bidi w:val="0"/>
              <w:rPr>
                <w:lang w:val="pt-BR"/>
              </w:rPr>
            </w:pPr>
            <w:r>
              <w:rPr>
                <w:rFonts w:hint="eastAsia"/>
                <w:lang w:val="en-US" w:eastAsia="zh-CN"/>
              </w:rPr>
              <w:t>62.5</w:t>
            </w:r>
            <w:r>
              <w:rPr>
                <w:lang w:val="pt-BR"/>
              </w:rPr>
              <w:t>t/a</w:t>
            </w:r>
          </w:p>
        </w:tc>
        <w:tc>
          <w:tcPr>
            <w:tcW w:w="1363" w:type="dxa"/>
            <w:vMerge w:val="continue"/>
            <w:tcBorders>
              <w:tl2br w:val="nil"/>
              <w:tr2bl w:val="nil"/>
            </w:tcBorders>
            <w:vAlign w:val="center"/>
          </w:tcPr>
          <w:p>
            <w:pPr>
              <w:pStyle w:val="19"/>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1" w:type="dxa"/>
            <w:vMerge w:val="continue"/>
            <w:tcBorders>
              <w:tl2br w:val="nil"/>
              <w:tr2bl w:val="nil"/>
            </w:tcBorders>
            <w:vAlign w:val="center"/>
          </w:tcPr>
          <w:p>
            <w:pPr>
              <w:pStyle w:val="19"/>
              <w:bidi w:val="0"/>
              <w:rPr>
                <w:rFonts w:hint="eastAsia"/>
                <w:lang w:val="en-US" w:eastAsia="zh-CN"/>
              </w:rPr>
            </w:pPr>
          </w:p>
        </w:tc>
        <w:tc>
          <w:tcPr>
            <w:tcW w:w="588" w:type="dxa"/>
            <w:tcBorders>
              <w:tl2br w:val="nil"/>
              <w:tr2bl w:val="nil"/>
            </w:tcBorders>
            <w:vAlign w:val="center"/>
          </w:tcPr>
          <w:p>
            <w:pPr>
              <w:pStyle w:val="19"/>
              <w:bidi w:val="0"/>
              <w:rPr>
                <w:rFonts w:hint="default"/>
                <w:lang w:val="en-US" w:eastAsia="zh-CN"/>
              </w:rPr>
            </w:pPr>
            <w:r>
              <w:rPr>
                <w:rFonts w:hint="eastAsia"/>
                <w:lang w:val="en-US" w:eastAsia="zh-CN"/>
              </w:rPr>
              <w:t>6</w:t>
            </w:r>
          </w:p>
        </w:tc>
        <w:tc>
          <w:tcPr>
            <w:tcW w:w="1542" w:type="dxa"/>
            <w:tcBorders>
              <w:tl2br w:val="nil"/>
              <w:tr2bl w:val="nil"/>
            </w:tcBorders>
            <w:vAlign w:val="center"/>
          </w:tcPr>
          <w:p>
            <w:pPr>
              <w:pStyle w:val="19"/>
              <w:bidi w:val="0"/>
              <w:rPr>
                <w:rFonts w:hint="eastAsia"/>
                <w:lang w:val="en-US" w:eastAsia="zh-CN"/>
              </w:rPr>
            </w:pPr>
            <w:r>
              <w:rPr>
                <w:rFonts w:hint="eastAsia"/>
                <w:lang w:val="en-US" w:eastAsia="zh-CN"/>
              </w:rPr>
              <w:t>电</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50</w:t>
            </w:r>
            <w:r>
              <w:rPr>
                <w:lang w:val="pt-BR"/>
              </w:rPr>
              <w:t>万</w:t>
            </w:r>
            <w:r>
              <w:t>度</w:t>
            </w:r>
          </w:p>
        </w:tc>
        <w:tc>
          <w:tcPr>
            <w:tcW w:w="1962" w:type="dxa"/>
            <w:tcBorders>
              <w:tl2br w:val="nil"/>
              <w:tr2bl w:val="nil"/>
            </w:tcBorders>
            <w:vAlign w:val="center"/>
          </w:tcPr>
          <w:p>
            <w:pPr>
              <w:pStyle w:val="19"/>
              <w:bidi w:val="0"/>
              <w:rPr>
                <w:rFonts w:hint="eastAsia"/>
                <w:lang w:val="en-US" w:eastAsia="zh-CN"/>
              </w:rPr>
            </w:pPr>
            <w:r>
              <w:rPr>
                <w:lang w:val="pt-BR"/>
              </w:rPr>
              <w:t>35万</w:t>
            </w:r>
            <w:r>
              <w:t>度</w:t>
            </w:r>
          </w:p>
        </w:tc>
        <w:tc>
          <w:tcPr>
            <w:tcW w:w="1363" w:type="dxa"/>
            <w:tcBorders>
              <w:tl2br w:val="nil"/>
              <w:tr2bl w:val="nil"/>
            </w:tcBorders>
            <w:vAlign w:val="center"/>
          </w:tcPr>
          <w:p>
            <w:pPr>
              <w:pStyle w:val="19"/>
              <w:bidi w:val="0"/>
              <w:rPr>
                <w:rFonts w:hint="default"/>
                <w:lang w:val="en-US" w:eastAsia="zh-CN"/>
              </w:rPr>
            </w:pPr>
            <w:r>
              <w:rPr>
                <w:rFonts w:hint="eastAsia"/>
                <w:lang w:val="en-US" w:eastAsia="zh-CN"/>
              </w:rPr>
              <w:t>实际建设产能降低</w:t>
            </w:r>
          </w:p>
        </w:tc>
      </w:tr>
    </w:tbl>
    <w:p>
      <w:pPr>
        <w:rPr>
          <w:rFonts w:hint="default" w:eastAsia="宋体"/>
          <w:lang w:val="en-US" w:eastAsia="zh-CN"/>
        </w:rPr>
      </w:pPr>
      <w:r>
        <w:rPr>
          <w:rFonts w:hint="eastAsia"/>
          <w:lang w:val="en-US" w:eastAsia="zh-CN"/>
        </w:rPr>
        <w:t>由上表可知，</w:t>
      </w:r>
      <w:r>
        <w:rPr>
          <w:rFonts w:hint="eastAsia"/>
          <w:lang w:eastAsia="zh-CN"/>
        </w:rPr>
        <w:t>项目（一期）</w:t>
      </w:r>
      <w:r>
        <w:rPr>
          <w:rFonts w:hint="eastAsia"/>
          <w:lang w:val="en-US" w:eastAsia="zh-CN"/>
        </w:rPr>
        <w:t>实际建设过程中产能降低一半，原辅料实际使用量降低一半。</w:t>
      </w:r>
    </w:p>
    <w:p>
      <w:pPr>
        <w:pStyle w:val="3"/>
        <w:bidi w:val="0"/>
        <w:rPr>
          <w:rFonts w:hint="default"/>
        </w:rPr>
      </w:pPr>
      <w:bookmarkStart w:id="81" w:name="_Toc4182"/>
      <w:r>
        <w:rPr>
          <w:rFonts w:hint="default"/>
        </w:rPr>
        <w:t>生产设备</w:t>
      </w:r>
      <w:bookmarkEnd w:id="81"/>
    </w:p>
    <w:p>
      <w:pPr>
        <w:rPr>
          <w:rFonts w:hint="eastAsia" w:eastAsia="宋体"/>
          <w:lang w:eastAsia="zh-CN"/>
        </w:rPr>
      </w:pPr>
      <w:r>
        <w:rPr>
          <w:rFonts w:hint="eastAsia"/>
          <w:lang w:eastAsia="zh-CN"/>
        </w:rPr>
        <w:t>项目（一期）</w:t>
      </w:r>
      <w:r>
        <w:rPr>
          <w:rFonts w:hint="eastAsia"/>
          <w:lang w:val="en-US" w:eastAsia="zh-CN"/>
        </w:rPr>
        <w:t>主要生产</w:t>
      </w:r>
      <w:r>
        <w:rPr>
          <w:rFonts w:hint="default"/>
        </w:rPr>
        <w:t>设备</w:t>
      </w:r>
      <w:r>
        <w:rPr>
          <w:rFonts w:hint="default"/>
          <w:lang w:eastAsia="zh-CN"/>
        </w:rPr>
        <w:t>清单</w:t>
      </w:r>
      <w:r>
        <w:rPr>
          <w:rFonts w:hint="default"/>
        </w:rPr>
        <w:t>一览表见</w:t>
      </w:r>
      <w:r>
        <w:rPr>
          <w:rFonts w:hint="eastAsia"/>
          <w:lang w:val="en-US" w:eastAsia="zh-CN"/>
        </w:rPr>
        <w:t>下</w:t>
      </w:r>
      <w:r>
        <w:rPr>
          <w:rFonts w:hint="default"/>
        </w:rPr>
        <w:t>表</w:t>
      </w:r>
      <w:r>
        <w:rPr>
          <w:rFonts w:hint="eastAsia"/>
          <w:lang w:eastAsia="zh-CN"/>
        </w:rPr>
        <w:t>：</w:t>
      </w:r>
    </w:p>
    <w:p>
      <w:pPr>
        <w:pStyle w:val="20"/>
        <w:bidi w:val="0"/>
        <w:rPr>
          <w:rFonts w:hint="default"/>
        </w:rPr>
      </w:pP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项目（一期）</w:t>
      </w:r>
      <w:r>
        <w:rPr>
          <w:rFonts w:hint="default"/>
        </w:rPr>
        <w:t>生产设备一览表</w:t>
      </w:r>
    </w:p>
    <w:tbl>
      <w:tblPr>
        <w:tblStyle w:val="16"/>
        <w:tblW w:w="85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721"/>
        <w:gridCol w:w="1593"/>
        <w:gridCol w:w="900"/>
        <w:gridCol w:w="1684"/>
        <w:gridCol w:w="958"/>
        <w:gridCol w:w="11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71" w:type="dxa"/>
            <w:vMerge w:val="restart"/>
            <w:tcBorders>
              <w:tl2br w:val="nil"/>
              <w:tr2bl w:val="nil"/>
            </w:tcBorders>
            <w:vAlign w:val="center"/>
          </w:tcPr>
          <w:p>
            <w:pPr>
              <w:pStyle w:val="19"/>
              <w:bidi w:val="0"/>
              <w:jc w:val="center"/>
              <w:rPr>
                <w:rFonts w:hint="default"/>
                <w:b/>
                <w:bCs w:val="0"/>
                <w:lang w:val="en-US" w:eastAsia="zh-CN"/>
              </w:rPr>
            </w:pPr>
            <w:r>
              <w:rPr>
                <w:rFonts w:hint="default"/>
                <w:b/>
                <w:bCs w:val="0"/>
                <w:lang w:val="en-US" w:eastAsia="zh-CN"/>
              </w:rPr>
              <w:t>序号</w:t>
            </w:r>
          </w:p>
        </w:tc>
        <w:tc>
          <w:tcPr>
            <w:tcW w:w="1721" w:type="dxa"/>
            <w:vMerge w:val="restart"/>
            <w:tcBorders>
              <w:tl2br w:val="nil"/>
              <w:tr2bl w:val="nil"/>
            </w:tcBorders>
            <w:vAlign w:val="center"/>
          </w:tcPr>
          <w:p>
            <w:pPr>
              <w:pStyle w:val="19"/>
              <w:bidi w:val="0"/>
              <w:jc w:val="center"/>
              <w:rPr>
                <w:rFonts w:hint="default"/>
                <w:b/>
                <w:bCs w:val="0"/>
                <w:lang w:val="en-US" w:eastAsia="zh-CN"/>
              </w:rPr>
            </w:pPr>
            <w:r>
              <w:rPr>
                <w:rFonts w:hint="default"/>
                <w:b/>
                <w:bCs w:val="0"/>
                <w:lang w:val="en-US" w:eastAsia="zh-CN"/>
              </w:rPr>
              <w:t>名称</w:t>
            </w:r>
          </w:p>
        </w:tc>
        <w:tc>
          <w:tcPr>
            <w:tcW w:w="2493" w:type="dxa"/>
            <w:gridSpan w:val="2"/>
            <w:tcBorders>
              <w:tl2br w:val="nil"/>
              <w:tr2bl w:val="nil"/>
            </w:tcBorders>
            <w:vAlign w:val="center"/>
          </w:tcPr>
          <w:p>
            <w:pPr>
              <w:pStyle w:val="19"/>
              <w:bidi w:val="0"/>
              <w:jc w:val="center"/>
              <w:rPr>
                <w:rFonts w:hint="default"/>
                <w:b/>
                <w:bCs w:val="0"/>
                <w:lang w:val="en-US" w:eastAsia="zh-CN"/>
              </w:rPr>
            </w:pPr>
            <w:r>
              <w:rPr>
                <w:rFonts w:hint="default"/>
                <w:b/>
                <w:bCs w:val="0"/>
                <w:lang w:val="en-US" w:eastAsia="zh-CN"/>
              </w:rPr>
              <w:t>环评批复及环评报告</w:t>
            </w:r>
          </w:p>
        </w:tc>
        <w:tc>
          <w:tcPr>
            <w:tcW w:w="2642" w:type="dxa"/>
            <w:gridSpan w:val="2"/>
            <w:tcBorders>
              <w:tl2br w:val="nil"/>
              <w:tr2bl w:val="nil"/>
            </w:tcBorders>
            <w:vAlign w:val="center"/>
          </w:tcPr>
          <w:p>
            <w:pPr>
              <w:pStyle w:val="19"/>
              <w:bidi w:val="0"/>
              <w:jc w:val="center"/>
              <w:rPr>
                <w:rFonts w:hint="eastAsia"/>
                <w:b/>
                <w:bCs w:val="0"/>
                <w:lang w:val="en-US" w:eastAsia="zh-CN"/>
              </w:rPr>
            </w:pPr>
            <w:r>
              <w:rPr>
                <w:rFonts w:hint="eastAsia"/>
                <w:b/>
                <w:bCs w:val="0"/>
                <w:lang w:val="en-US" w:eastAsia="zh-CN"/>
              </w:rPr>
              <w:t>实际建设内容</w:t>
            </w:r>
          </w:p>
        </w:tc>
        <w:tc>
          <w:tcPr>
            <w:tcW w:w="1150" w:type="dxa"/>
            <w:vMerge w:val="restart"/>
            <w:tcBorders>
              <w:tl2br w:val="nil"/>
              <w:tr2bl w:val="nil"/>
            </w:tcBorders>
            <w:vAlign w:val="center"/>
          </w:tcPr>
          <w:p>
            <w:pPr>
              <w:pStyle w:val="19"/>
              <w:bidi w:val="0"/>
              <w:jc w:val="center"/>
              <w:rPr>
                <w:rFonts w:hint="default"/>
                <w:lang w:val="en-US" w:eastAsia="zh-CN"/>
              </w:rPr>
            </w:pPr>
            <w:r>
              <w:rPr>
                <w:rFonts w:hint="default"/>
                <w:b/>
                <w:bCs w:val="0"/>
                <w:lang w:val="en-US" w:eastAsia="zh-CN"/>
              </w:rPr>
              <w:t>一致性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1" w:type="dxa"/>
            <w:vMerge w:val="continue"/>
            <w:tcBorders>
              <w:tl2br w:val="nil"/>
              <w:tr2bl w:val="nil"/>
            </w:tcBorders>
            <w:vAlign w:val="center"/>
          </w:tcPr>
          <w:p>
            <w:pPr>
              <w:pStyle w:val="19"/>
              <w:bidi w:val="0"/>
              <w:jc w:val="center"/>
              <w:rPr>
                <w:rFonts w:hint="default"/>
                <w:b/>
                <w:bCs w:val="0"/>
                <w:lang w:val="en-US" w:eastAsia="zh-CN"/>
              </w:rPr>
            </w:pPr>
          </w:p>
        </w:tc>
        <w:tc>
          <w:tcPr>
            <w:tcW w:w="1721" w:type="dxa"/>
            <w:vMerge w:val="continue"/>
            <w:tcBorders>
              <w:tl2br w:val="nil"/>
              <w:tr2bl w:val="nil"/>
            </w:tcBorders>
            <w:vAlign w:val="center"/>
          </w:tcPr>
          <w:p>
            <w:pPr>
              <w:pStyle w:val="19"/>
              <w:bidi w:val="0"/>
              <w:jc w:val="center"/>
              <w:rPr>
                <w:rFonts w:hint="default"/>
                <w:b/>
                <w:bCs w:val="0"/>
                <w:lang w:val="en-US" w:eastAsia="zh-CN"/>
              </w:rPr>
            </w:pPr>
          </w:p>
        </w:tc>
        <w:tc>
          <w:tcPr>
            <w:tcW w:w="1593" w:type="dxa"/>
            <w:tcBorders>
              <w:tl2br w:val="nil"/>
              <w:tr2bl w:val="nil"/>
            </w:tcBorders>
            <w:vAlign w:val="center"/>
          </w:tcPr>
          <w:p>
            <w:pPr>
              <w:pStyle w:val="19"/>
              <w:bidi w:val="0"/>
              <w:jc w:val="center"/>
              <w:rPr>
                <w:rFonts w:hint="default"/>
                <w:b/>
                <w:bCs w:val="0"/>
                <w:lang w:val="en-US" w:eastAsia="zh-CN"/>
              </w:rPr>
            </w:pPr>
            <w:r>
              <w:rPr>
                <w:rFonts w:hint="eastAsia"/>
                <w:b/>
                <w:bCs w:val="0"/>
                <w:lang w:val="en-US" w:eastAsia="zh-CN"/>
              </w:rPr>
              <w:t>规格型号/说明</w:t>
            </w:r>
          </w:p>
        </w:tc>
        <w:tc>
          <w:tcPr>
            <w:tcW w:w="900" w:type="dxa"/>
            <w:tcBorders>
              <w:tl2br w:val="nil"/>
              <w:tr2bl w:val="nil"/>
            </w:tcBorders>
            <w:vAlign w:val="center"/>
          </w:tcPr>
          <w:p>
            <w:pPr>
              <w:pStyle w:val="19"/>
              <w:bidi w:val="0"/>
              <w:jc w:val="center"/>
              <w:rPr>
                <w:rFonts w:hint="default"/>
                <w:b/>
                <w:bCs w:val="0"/>
                <w:lang w:val="en-US" w:eastAsia="zh-CN"/>
              </w:rPr>
            </w:pPr>
            <w:r>
              <w:rPr>
                <w:rFonts w:hint="default"/>
                <w:b/>
                <w:bCs w:val="0"/>
                <w:lang w:val="en-US" w:eastAsia="zh-CN"/>
              </w:rPr>
              <w:t>数量</w:t>
            </w:r>
          </w:p>
          <w:p>
            <w:pPr>
              <w:pStyle w:val="19"/>
              <w:bidi w:val="0"/>
              <w:jc w:val="center"/>
              <w:rPr>
                <w:rFonts w:hint="eastAsia"/>
                <w:b/>
                <w:bCs w:val="0"/>
                <w:lang w:val="en-US" w:eastAsia="zh-CN"/>
              </w:rPr>
            </w:pPr>
            <w:r>
              <w:rPr>
                <w:rFonts w:hint="eastAsia"/>
                <w:b/>
                <w:bCs w:val="0"/>
                <w:lang w:val="en-US" w:eastAsia="zh-CN"/>
              </w:rPr>
              <w:t>（台）</w:t>
            </w:r>
          </w:p>
        </w:tc>
        <w:tc>
          <w:tcPr>
            <w:tcW w:w="1684" w:type="dxa"/>
            <w:tcBorders>
              <w:tl2br w:val="nil"/>
              <w:tr2bl w:val="nil"/>
            </w:tcBorders>
            <w:vAlign w:val="center"/>
          </w:tcPr>
          <w:p>
            <w:pPr>
              <w:pStyle w:val="19"/>
              <w:bidi w:val="0"/>
              <w:jc w:val="center"/>
              <w:rPr>
                <w:rFonts w:hint="default"/>
                <w:b/>
                <w:bCs w:val="0"/>
                <w:lang w:val="en-US" w:eastAsia="zh-CN"/>
              </w:rPr>
            </w:pPr>
            <w:r>
              <w:rPr>
                <w:rFonts w:hint="eastAsia"/>
                <w:b/>
                <w:bCs w:val="0"/>
                <w:lang w:val="en-US" w:eastAsia="zh-CN"/>
              </w:rPr>
              <w:t>规格型号/说明</w:t>
            </w:r>
          </w:p>
        </w:tc>
        <w:tc>
          <w:tcPr>
            <w:tcW w:w="958" w:type="dxa"/>
            <w:tcBorders>
              <w:tl2br w:val="nil"/>
              <w:tr2bl w:val="nil"/>
            </w:tcBorders>
            <w:vAlign w:val="center"/>
          </w:tcPr>
          <w:p>
            <w:pPr>
              <w:pStyle w:val="19"/>
              <w:bidi w:val="0"/>
              <w:jc w:val="center"/>
              <w:rPr>
                <w:rFonts w:hint="default"/>
                <w:b/>
                <w:bCs w:val="0"/>
                <w:lang w:val="en-US" w:eastAsia="zh-CN"/>
              </w:rPr>
            </w:pPr>
            <w:r>
              <w:rPr>
                <w:rFonts w:hint="default"/>
                <w:b/>
                <w:bCs w:val="0"/>
                <w:lang w:val="en-US" w:eastAsia="zh-CN"/>
              </w:rPr>
              <w:t>数量</w:t>
            </w:r>
          </w:p>
          <w:p>
            <w:pPr>
              <w:pStyle w:val="19"/>
              <w:bidi w:val="0"/>
              <w:jc w:val="center"/>
              <w:rPr>
                <w:rFonts w:hint="eastAsia"/>
                <w:b/>
                <w:bCs w:val="0"/>
                <w:lang w:val="en-US" w:eastAsia="zh-CN"/>
              </w:rPr>
            </w:pPr>
            <w:r>
              <w:rPr>
                <w:rFonts w:hint="eastAsia"/>
                <w:b/>
                <w:bCs w:val="0"/>
                <w:lang w:val="en-US" w:eastAsia="zh-CN"/>
              </w:rPr>
              <w:t>（台）</w:t>
            </w:r>
          </w:p>
        </w:tc>
        <w:tc>
          <w:tcPr>
            <w:tcW w:w="1150" w:type="dxa"/>
            <w:vMerge w:val="continue"/>
            <w:tcBorders>
              <w:tl2br w:val="nil"/>
              <w:tr2bl w:val="nil"/>
            </w:tcBorders>
            <w:vAlign w:val="center"/>
          </w:tcPr>
          <w:p>
            <w:pPr>
              <w:pStyle w:val="19"/>
              <w:bidi w:val="0"/>
              <w:jc w:val="center"/>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dxa"/>
            <w:tcBorders>
              <w:tl2br w:val="nil"/>
              <w:tr2bl w:val="nil"/>
            </w:tcBorders>
            <w:vAlign w:val="center"/>
          </w:tcPr>
          <w:p>
            <w:pPr>
              <w:pStyle w:val="19"/>
              <w:bidi w:val="0"/>
              <w:jc w:val="center"/>
              <w:rPr>
                <w:rFonts w:hint="default"/>
                <w:lang w:val="en-US" w:eastAsia="zh-CN"/>
              </w:rPr>
            </w:pPr>
            <w:r>
              <w:rPr>
                <w:rFonts w:hint="eastAsia"/>
                <w:lang w:val="en-US" w:eastAsia="zh-CN"/>
              </w:rPr>
              <w:t>1</w:t>
            </w:r>
          </w:p>
        </w:tc>
        <w:tc>
          <w:tcPr>
            <w:tcW w:w="1721" w:type="dxa"/>
            <w:tcBorders>
              <w:tl2br w:val="nil"/>
              <w:tr2bl w:val="nil"/>
            </w:tcBorders>
            <w:vAlign w:val="center"/>
          </w:tcPr>
          <w:p>
            <w:pPr>
              <w:pStyle w:val="19"/>
              <w:bidi w:val="0"/>
              <w:rPr>
                <w:rFonts w:hint="default"/>
                <w:lang w:val="en-US" w:eastAsia="zh-CN"/>
              </w:rPr>
            </w:pPr>
            <w:r>
              <w:t>注塑机</w:t>
            </w:r>
          </w:p>
        </w:tc>
        <w:tc>
          <w:tcPr>
            <w:tcW w:w="1593" w:type="dxa"/>
            <w:tcBorders>
              <w:tl2br w:val="nil"/>
              <w:tr2bl w:val="nil"/>
            </w:tcBorders>
            <w:vAlign w:val="center"/>
          </w:tcPr>
          <w:p>
            <w:pPr>
              <w:pStyle w:val="19"/>
              <w:bidi w:val="0"/>
              <w:rPr>
                <w:rFonts w:hint="default"/>
                <w:lang w:val="en-US" w:eastAsia="zh-CN"/>
              </w:rPr>
            </w:pPr>
            <w:r>
              <w:t>128</w:t>
            </w:r>
            <w:r>
              <w:rPr>
                <w:rFonts w:hint="eastAsia"/>
              </w:rPr>
              <w:t>t</w:t>
            </w:r>
          </w:p>
        </w:tc>
        <w:tc>
          <w:tcPr>
            <w:tcW w:w="900" w:type="dxa"/>
            <w:tcBorders>
              <w:tl2br w:val="nil"/>
              <w:tr2bl w:val="nil"/>
            </w:tcBorders>
            <w:vAlign w:val="center"/>
          </w:tcPr>
          <w:p>
            <w:pPr>
              <w:pStyle w:val="19"/>
              <w:bidi w:val="0"/>
              <w:rPr>
                <w:rFonts w:hint="default"/>
                <w:lang w:val="en-US" w:eastAsia="zh-CN"/>
              </w:rPr>
            </w:pPr>
            <w:r>
              <w:rPr>
                <w:rFonts w:hint="eastAsia"/>
                <w:lang w:val="en-US" w:eastAsia="zh-CN"/>
              </w:rPr>
              <w:t>4</w:t>
            </w:r>
            <w:r>
              <w:rPr>
                <w:lang w:val="pt-BR"/>
              </w:rPr>
              <w:t>0</w:t>
            </w:r>
            <w:r>
              <w:rPr>
                <w:rFonts w:hint="eastAsia"/>
                <w:lang w:val="pt-BR"/>
              </w:rPr>
              <w:t>台</w:t>
            </w:r>
          </w:p>
        </w:tc>
        <w:tc>
          <w:tcPr>
            <w:tcW w:w="1684" w:type="dxa"/>
            <w:tcBorders>
              <w:tl2br w:val="nil"/>
              <w:tr2bl w:val="nil"/>
            </w:tcBorders>
            <w:vAlign w:val="center"/>
          </w:tcPr>
          <w:p>
            <w:pPr>
              <w:pStyle w:val="19"/>
              <w:bidi w:val="0"/>
              <w:rPr>
                <w:rFonts w:hint="default"/>
                <w:lang w:val="en-US" w:eastAsia="zh-CN"/>
              </w:rPr>
            </w:pPr>
            <w:r>
              <w:t>128</w:t>
            </w:r>
            <w:r>
              <w:rPr>
                <w:rFonts w:hint="eastAsia"/>
              </w:rPr>
              <w:t>t</w:t>
            </w:r>
          </w:p>
        </w:tc>
        <w:tc>
          <w:tcPr>
            <w:tcW w:w="958" w:type="dxa"/>
            <w:tcBorders>
              <w:tl2br w:val="nil"/>
              <w:tr2bl w:val="nil"/>
            </w:tcBorders>
            <w:vAlign w:val="center"/>
          </w:tcPr>
          <w:p>
            <w:pPr>
              <w:pStyle w:val="19"/>
              <w:bidi w:val="0"/>
              <w:rPr>
                <w:rFonts w:hint="default"/>
                <w:lang w:val="en-US" w:eastAsia="zh-CN"/>
              </w:rPr>
            </w:pPr>
            <w:r>
              <w:rPr>
                <w:lang w:val="pt-BR"/>
              </w:rPr>
              <w:t>20</w:t>
            </w:r>
            <w:r>
              <w:rPr>
                <w:rFonts w:hint="eastAsia"/>
                <w:lang w:val="pt-BR"/>
              </w:rPr>
              <w:t>台</w:t>
            </w:r>
          </w:p>
        </w:tc>
        <w:tc>
          <w:tcPr>
            <w:tcW w:w="1150" w:type="dxa"/>
            <w:tcBorders>
              <w:tl2br w:val="nil"/>
              <w:tr2bl w:val="nil"/>
            </w:tcBorders>
            <w:vAlign w:val="center"/>
          </w:tcPr>
          <w:p>
            <w:pPr>
              <w:pStyle w:val="19"/>
              <w:bidi w:val="0"/>
              <w:rPr>
                <w:rFonts w:hint="default"/>
                <w:lang w:val="en-US" w:eastAsia="zh-CN"/>
              </w:rPr>
            </w:pPr>
            <w:r>
              <w:rPr>
                <w:rFonts w:hint="eastAsia"/>
                <w:lang w:val="en-US" w:eastAsia="zh-CN"/>
              </w:rPr>
              <w:t>实际建设产能降低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dxa"/>
            <w:tcBorders>
              <w:tl2br w:val="nil"/>
              <w:tr2bl w:val="nil"/>
            </w:tcBorders>
            <w:vAlign w:val="center"/>
          </w:tcPr>
          <w:p>
            <w:pPr>
              <w:pStyle w:val="19"/>
              <w:bidi w:val="0"/>
              <w:jc w:val="center"/>
              <w:rPr>
                <w:rFonts w:hint="default"/>
                <w:lang w:val="en-US" w:eastAsia="zh-CN"/>
              </w:rPr>
            </w:pPr>
            <w:r>
              <w:rPr>
                <w:rFonts w:hint="eastAsia"/>
                <w:lang w:val="en-US" w:eastAsia="zh-CN"/>
              </w:rPr>
              <w:t>2</w:t>
            </w:r>
          </w:p>
        </w:tc>
        <w:tc>
          <w:tcPr>
            <w:tcW w:w="1721" w:type="dxa"/>
            <w:tcBorders>
              <w:tl2br w:val="nil"/>
              <w:tr2bl w:val="nil"/>
            </w:tcBorders>
            <w:vAlign w:val="center"/>
          </w:tcPr>
          <w:p>
            <w:pPr>
              <w:pStyle w:val="19"/>
              <w:bidi w:val="0"/>
              <w:rPr>
                <w:rFonts w:hint="default"/>
                <w:lang w:val="en-US" w:eastAsia="zh-CN"/>
              </w:rPr>
            </w:pPr>
            <w:r>
              <w:rPr>
                <w:rFonts w:hint="eastAsia"/>
              </w:rPr>
              <w:t>破碎机</w:t>
            </w:r>
          </w:p>
        </w:tc>
        <w:tc>
          <w:tcPr>
            <w:tcW w:w="1593" w:type="dxa"/>
            <w:tcBorders>
              <w:tl2br w:val="nil"/>
              <w:tr2bl w:val="nil"/>
            </w:tcBorders>
            <w:vAlign w:val="center"/>
          </w:tcPr>
          <w:p>
            <w:pPr>
              <w:pStyle w:val="19"/>
              <w:bidi w:val="0"/>
              <w:rPr>
                <w:rFonts w:hint="default"/>
                <w:lang w:val="en-US" w:eastAsia="zh-CN"/>
              </w:rPr>
            </w:pPr>
            <w:r>
              <w:rPr>
                <w:rFonts w:hint="eastAsia"/>
              </w:rPr>
              <w:t>注塑机配套</w:t>
            </w:r>
          </w:p>
        </w:tc>
        <w:tc>
          <w:tcPr>
            <w:tcW w:w="900" w:type="dxa"/>
            <w:tcBorders>
              <w:tl2br w:val="nil"/>
              <w:tr2bl w:val="nil"/>
            </w:tcBorders>
            <w:vAlign w:val="center"/>
          </w:tcPr>
          <w:p>
            <w:pPr>
              <w:pStyle w:val="19"/>
              <w:bidi w:val="0"/>
              <w:rPr>
                <w:rFonts w:hint="default"/>
                <w:lang w:val="en-US" w:eastAsia="zh-CN"/>
              </w:rPr>
            </w:pPr>
            <w:r>
              <w:rPr>
                <w:rFonts w:hint="eastAsia"/>
                <w:lang w:val="en-US" w:eastAsia="zh-CN"/>
              </w:rPr>
              <w:t>4</w:t>
            </w:r>
            <w:r>
              <w:rPr>
                <w:lang w:val="pt-BR"/>
              </w:rPr>
              <w:t>0</w:t>
            </w:r>
            <w:r>
              <w:rPr>
                <w:rFonts w:hint="eastAsia"/>
                <w:lang w:val="pt-BR"/>
              </w:rPr>
              <w:t>台</w:t>
            </w:r>
          </w:p>
        </w:tc>
        <w:tc>
          <w:tcPr>
            <w:tcW w:w="1684" w:type="dxa"/>
            <w:tcBorders>
              <w:tl2br w:val="nil"/>
              <w:tr2bl w:val="nil"/>
            </w:tcBorders>
            <w:vAlign w:val="center"/>
          </w:tcPr>
          <w:p>
            <w:pPr>
              <w:pStyle w:val="19"/>
              <w:bidi w:val="0"/>
              <w:rPr>
                <w:rFonts w:hint="default"/>
                <w:lang w:val="en-US" w:eastAsia="zh-CN"/>
              </w:rPr>
            </w:pPr>
            <w:r>
              <w:rPr>
                <w:rFonts w:hint="eastAsia"/>
              </w:rPr>
              <w:t>注塑机配套</w:t>
            </w:r>
          </w:p>
        </w:tc>
        <w:tc>
          <w:tcPr>
            <w:tcW w:w="958" w:type="dxa"/>
            <w:tcBorders>
              <w:tl2br w:val="nil"/>
              <w:tr2bl w:val="nil"/>
            </w:tcBorders>
            <w:vAlign w:val="center"/>
          </w:tcPr>
          <w:p>
            <w:pPr>
              <w:pStyle w:val="19"/>
              <w:bidi w:val="0"/>
              <w:rPr>
                <w:rFonts w:hint="default"/>
                <w:lang w:val="en-US" w:eastAsia="zh-CN"/>
              </w:rPr>
            </w:pPr>
            <w:r>
              <w:rPr>
                <w:rFonts w:hint="eastAsia"/>
                <w:lang w:val="pt-BR"/>
              </w:rPr>
              <w:t>2</w:t>
            </w:r>
            <w:r>
              <w:rPr>
                <w:lang w:val="pt-BR"/>
              </w:rPr>
              <w:t>0</w:t>
            </w:r>
            <w:r>
              <w:rPr>
                <w:rFonts w:hint="eastAsia"/>
                <w:lang w:val="pt-BR"/>
              </w:rPr>
              <w:t>台</w:t>
            </w:r>
          </w:p>
        </w:tc>
        <w:tc>
          <w:tcPr>
            <w:tcW w:w="1150" w:type="dxa"/>
            <w:tcBorders>
              <w:tl2br w:val="nil"/>
              <w:tr2bl w:val="nil"/>
            </w:tcBorders>
            <w:vAlign w:val="center"/>
          </w:tcPr>
          <w:p>
            <w:pPr>
              <w:pStyle w:val="19"/>
              <w:bidi w:val="0"/>
              <w:rPr>
                <w:rFonts w:hint="default"/>
                <w:lang w:val="en-US" w:eastAsia="zh-CN"/>
              </w:rPr>
            </w:pPr>
            <w:r>
              <w:rPr>
                <w:rFonts w:hint="eastAsia"/>
                <w:lang w:val="en-US" w:eastAsia="zh-CN"/>
              </w:rPr>
              <w:t>实际建设产能降低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dxa"/>
            <w:tcBorders>
              <w:tl2br w:val="nil"/>
              <w:tr2bl w:val="nil"/>
            </w:tcBorders>
            <w:vAlign w:val="center"/>
          </w:tcPr>
          <w:p>
            <w:pPr>
              <w:pStyle w:val="19"/>
              <w:bidi w:val="0"/>
              <w:jc w:val="center"/>
              <w:rPr>
                <w:rFonts w:hint="default"/>
                <w:lang w:val="en-US" w:eastAsia="zh-CN"/>
              </w:rPr>
            </w:pPr>
            <w:r>
              <w:rPr>
                <w:rFonts w:hint="eastAsia"/>
                <w:lang w:val="en-US" w:eastAsia="zh-CN"/>
              </w:rPr>
              <w:t>3</w:t>
            </w:r>
          </w:p>
        </w:tc>
        <w:tc>
          <w:tcPr>
            <w:tcW w:w="1721" w:type="dxa"/>
            <w:tcBorders>
              <w:tl2br w:val="nil"/>
              <w:tr2bl w:val="nil"/>
            </w:tcBorders>
            <w:vAlign w:val="center"/>
          </w:tcPr>
          <w:p>
            <w:pPr>
              <w:pStyle w:val="19"/>
              <w:bidi w:val="0"/>
              <w:rPr>
                <w:rFonts w:hint="default"/>
                <w:lang w:val="en-US" w:eastAsia="zh-CN"/>
              </w:rPr>
            </w:pPr>
            <w:r>
              <w:rPr>
                <w:rFonts w:hint="eastAsia"/>
              </w:rPr>
              <w:t>循环冷却系统</w:t>
            </w:r>
          </w:p>
        </w:tc>
        <w:tc>
          <w:tcPr>
            <w:tcW w:w="1593" w:type="dxa"/>
            <w:tcBorders>
              <w:tl2br w:val="nil"/>
              <w:tr2bl w:val="nil"/>
            </w:tcBorders>
            <w:vAlign w:val="center"/>
          </w:tcPr>
          <w:p>
            <w:pPr>
              <w:pStyle w:val="19"/>
              <w:bidi w:val="0"/>
              <w:rPr>
                <w:rFonts w:hint="default"/>
                <w:lang w:val="en-US" w:eastAsia="zh-CN"/>
              </w:rPr>
            </w:pPr>
            <w:r>
              <w:rPr>
                <w:rFonts w:hint="eastAsia"/>
              </w:rPr>
              <w:t>/</w:t>
            </w:r>
          </w:p>
        </w:tc>
        <w:tc>
          <w:tcPr>
            <w:tcW w:w="900" w:type="dxa"/>
            <w:tcBorders>
              <w:tl2br w:val="nil"/>
              <w:tr2bl w:val="nil"/>
            </w:tcBorders>
            <w:vAlign w:val="center"/>
          </w:tcPr>
          <w:p>
            <w:pPr>
              <w:pStyle w:val="19"/>
              <w:bidi w:val="0"/>
              <w:rPr>
                <w:rFonts w:hint="default"/>
                <w:lang w:val="en-US" w:eastAsia="zh-CN"/>
              </w:rPr>
            </w:pPr>
            <w:r>
              <w:rPr>
                <w:rFonts w:hint="eastAsia"/>
                <w:lang w:val="pt-BR"/>
              </w:rPr>
              <w:t>1套</w:t>
            </w:r>
          </w:p>
        </w:tc>
        <w:tc>
          <w:tcPr>
            <w:tcW w:w="1684" w:type="dxa"/>
            <w:tcBorders>
              <w:tl2br w:val="nil"/>
              <w:tr2bl w:val="nil"/>
            </w:tcBorders>
            <w:vAlign w:val="center"/>
          </w:tcPr>
          <w:p>
            <w:pPr>
              <w:pStyle w:val="19"/>
              <w:bidi w:val="0"/>
              <w:rPr>
                <w:rFonts w:hint="default"/>
                <w:lang w:val="en-US" w:eastAsia="zh-CN"/>
              </w:rPr>
            </w:pPr>
            <w:r>
              <w:rPr>
                <w:rFonts w:hint="eastAsia"/>
              </w:rPr>
              <w:t>/</w:t>
            </w:r>
          </w:p>
        </w:tc>
        <w:tc>
          <w:tcPr>
            <w:tcW w:w="958" w:type="dxa"/>
            <w:tcBorders>
              <w:tl2br w:val="nil"/>
              <w:tr2bl w:val="nil"/>
            </w:tcBorders>
            <w:vAlign w:val="center"/>
          </w:tcPr>
          <w:p>
            <w:pPr>
              <w:pStyle w:val="19"/>
              <w:bidi w:val="0"/>
              <w:rPr>
                <w:rFonts w:hint="default"/>
                <w:lang w:val="en-US" w:eastAsia="zh-CN"/>
              </w:rPr>
            </w:pPr>
            <w:r>
              <w:rPr>
                <w:rFonts w:hint="eastAsia"/>
                <w:lang w:val="pt-BR"/>
              </w:rPr>
              <w:t>1套</w:t>
            </w:r>
          </w:p>
        </w:tc>
        <w:tc>
          <w:tcPr>
            <w:tcW w:w="1150" w:type="dxa"/>
            <w:tcBorders>
              <w:tl2br w:val="nil"/>
              <w:tr2bl w:val="nil"/>
            </w:tcBorders>
            <w:vAlign w:val="center"/>
          </w:tcPr>
          <w:p>
            <w:pPr>
              <w:pStyle w:val="19"/>
              <w:bidi w:val="0"/>
              <w:rPr>
                <w:rFonts w:hint="default"/>
                <w:lang w:val="en-US" w:eastAsia="zh-CN"/>
              </w:rPr>
            </w:pPr>
            <w:r>
              <w:rPr>
                <w:rFonts w:hint="eastAsia"/>
                <w:lang w:val="en-US" w:eastAsia="zh-CN"/>
              </w:rPr>
              <w:t>实际建设产能降低</w:t>
            </w:r>
          </w:p>
        </w:tc>
      </w:tr>
    </w:tbl>
    <w:p>
      <w:pPr>
        <w:rPr>
          <w:rFonts w:hint="default" w:eastAsia="宋体"/>
          <w:lang w:val="en-US" w:eastAsia="zh-CN"/>
        </w:rPr>
      </w:pPr>
      <w:r>
        <w:rPr>
          <w:rFonts w:hint="eastAsia"/>
          <w:lang w:val="en-US" w:eastAsia="zh-CN"/>
        </w:rPr>
        <w:t>由上表可知，</w:t>
      </w:r>
      <w:r>
        <w:rPr>
          <w:rFonts w:hint="eastAsia"/>
          <w:lang w:eastAsia="zh-CN"/>
        </w:rPr>
        <w:t>项目（一期）</w:t>
      </w:r>
      <w:r>
        <w:rPr>
          <w:rFonts w:hint="eastAsia"/>
          <w:lang w:val="en-US" w:eastAsia="zh-CN"/>
        </w:rPr>
        <w:t>实际建设过程中产能降低一半，生产设备减少一半。</w:t>
      </w:r>
    </w:p>
    <w:p>
      <w:pPr>
        <w:pStyle w:val="3"/>
        <w:bidi w:val="0"/>
        <w:rPr>
          <w:rFonts w:hint="default"/>
          <w:lang w:val="en-US" w:eastAsia="zh-CN"/>
        </w:rPr>
      </w:pPr>
      <w:bookmarkStart w:id="82" w:name="_Toc27661"/>
      <w:r>
        <w:rPr>
          <w:rFonts w:hint="default"/>
          <w:lang w:val="en-US" w:eastAsia="zh-CN"/>
        </w:rPr>
        <w:t>水源及水平衡</w:t>
      </w:r>
      <w:bookmarkEnd w:id="76"/>
      <w:bookmarkEnd w:id="77"/>
      <w:bookmarkEnd w:id="78"/>
      <w:bookmarkEnd w:id="79"/>
      <w:bookmarkEnd w:id="80"/>
      <w:bookmarkEnd w:id="82"/>
      <w:bookmarkStart w:id="83" w:name="_Toc497001446"/>
    </w:p>
    <w:p>
      <w:pPr>
        <w:pStyle w:val="4"/>
        <w:bidi w:val="0"/>
        <w:rPr>
          <w:rFonts w:hint="default"/>
          <w:lang w:eastAsia="zh-CN"/>
        </w:rPr>
      </w:pPr>
      <w:bookmarkStart w:id="84" w:name="_Toc29496"/>
      <w:bookmarkStart w:id="85" w:name="_Toc13113"/>
      <w:bookmarkStart w:id="86" w:name="_Toc12759"/>
      <w:bookmarkStart w:id="87" w:name="_Toc12309"/>
      <w:bookmarkStart w:id="88" w:name="_Toc23876"/>
      <w:bookmarkStart w:id="89" w:name="_Toc12558"/>
      <w:r>
        <w:rPr>
          <w:rFonts w:hint="default"/>
          <w:lang w:eastAsia="zh-CN"/>
        </w:rPr>
        <w:t>供水</w:t>
      </w:r>
      <w:bookmarkEnd w:id="84"/>
      <w:bookmarkEnd w:id="85"/>
      <w:bookmarkEnd w:id="86"/>
      <w:bookmarkEnd w:id="87"/>
      <w:bookmarkEnd w:id="88"/>
      <w:bookmarkEnd w:id="89"/>
    </w:p>
    <w:p>
      <w:pPr>
        <w:ind w:firstLine="480"/>
        <w:rPr>
          <w:rFonts w:hint="eastAsia" w:ascii="Times New Roman" w:hAnsi="Times New Roman"/>
          <w:color w:val="auto"/>
          <w:lang w:val="en-US" w:eastAsia="zh-CN"/>
        </w:rPr>
      </w:pPr>
      <w:bookmarkStart w:id="90" w:name="_Toc8714"/>
      <w:bookmarkStart w:id="91" w:name="_Toc31114"/>
      <w:bookmarkStart w:id="92" w:name="_Toc21611"/>
      <w:bookmarkStart w:id="93" w:name="_Toc21635"/>
      <w:r>
        <w:rPr>
          <w:rFonts w:hint="eastAsia"/>
          <w:color w:val="auto"/>
          <w:lang w:val="en-US" w:eastAsia="zh-CN"/>
        </w:rPr>
        <w:t>年产50亿只密封圈项目</w:t>
      </w:r>
      <w:r>
        <w:rPr>
          <w:rFonts w:hint="eastAsia" w:ascii="Times New Roman" w:hAnsi="Times New Roman"/>
          <w:color w:val="auto"/>
          <w:lang w:val="en-US" w:eastAsia="zh-CN"/>
        </w:rPr>
        <w:t>用水</w:t>
      </w:r>
      <w:r>
        <w:rPr>
          <w:rFonts w:hint="eastAsia" w:ascii="Times New Roman" w:hAnsi="Times New Roman"/>
          <w:color w:val="000000" w:themeColor="text1"/>
          <w:lang w:val="en-US" w:eastAsia="zh-CN"/>
          <w14:textFill>
            <w14:solidFill>
              <w14:schemeClr w14:val="tx1"/>
            </w14:solidFill>
          </w14:textFill>
        </w:rPr>
        <w:t>主要为</w:t>
      </w:r>
      <w:r>
        <w:rPr>
          <w:rFonts w:hint="eastAsia"/>
          <w:color w:val="000000" w:themeColor="text1"/>
          <w:lang w:val="en-US" w:eastAsia="zh-CN"/>
          <w14:textFill>
            <w14:solidFill>
              <w14:schemeClr w14:val="tx1"/>
            </w14:solidFill>
          </w14:textFill>
        </w:rPr>
        <w:t>冷却</w:t>
      </w:r>
      <w:r>
        <w:rPr>
          <w:rFonts w:hint="eastAsia" w:ascii="Times New Roman" w:hAnsi="Times New Roman"/>
          <w:color w:val="000000" w:themeColor="text1"/>
          <w:lang w:val="en-US" w:eastAsia="zh-CN"/>
          <w14:textFill>
            <w14:solidFill>
              <w14:schemeClr w14:val="tx1"/>
            </w14:solidFill>
          </w14:textFill>
        </w:rPr>
        <w:t>用水和生活用水</w:t>
      </w:r>
      <w:bookmarkStart w:id="94" w:name="_Toc9437"/>
      <w:r>
        <w:rPr>
          <w:rFonts w:hint="eastAsia"/>
          <w:color w:val="000000" w:themeColor="text1"/>
          <w:lang w:val="en-US" w:eastAsia="zh-CN"/>
          <w14:textFill>
            <w14:solidFill>
              <w14:schemeClr w14:val="tx1"/>
            </w14:solidFill>
          </w14:textFill>
        </w:rPr>
        <w:t>，生活用水为园区自来水管网供给，循环冷却水为外购纯水</w:t>
      </w:r>
      <w:r>
        <w:rPr>
          <w:rFonts w:hint="eastAsia" w:ascii="Times New Roman" w:hAnsi="Times New Roman"/>
          <w:color w:val="000000" w:themeColor="text1"/>
          <w:lang w:val="en-US" w:eastAsia="zh-CN"/>
          <w14:textFill>
            <w14:solidFill>
              <w14:schemeClr w14:val="tx1"/>
            </w14:solidFill>
          </w14:textFill>
        </w:rPr>
        <w:t>。</w:t>
      </w:r>
    </w:p>
    <w:p>
      <w:pPr>
        <w:pStyle w:val="4"/>
        <w:bidi w:val="0"/>
        <w:rPr>
          <w:rFonts w:hint="default"/>
          <w:lang w:eastAsia="zh-CN"/>
        </w:rPr>
      </w:pPr>
      <w:bookmarkStart w:id="95" w:name="_Toc3661"/>
      <w:r>
        <w:rPr>
          <w:rFonts w:hint="eastAsia"/>
          <w:lang w:eastAsia="zh-CN"/>
        </w:rPr>
        <w:t>排水</w:t>
      </w:r>
      <w:bookmarkEnd w:id="90"/>
      <w:bookmarkEnd w:id="91"/>
      <w:bookmarkEnd w:id="92"/>
      <w:bookmarkEnd w:id="93"/>
      <w:bookmarkEnd w:id="94"/>
      <w:bookmarkEnd w:id="95"/>
    </w:p>
    <w:p>
      <w:pPr>
        <w:bidi w:val="0"/>
      </w:pPr>
      <w:r>
        <w:rPr>
          <w:rFonts w:hint="eastAsia"/>
          <w:lang w:eastAsia="zh-CN"/>
        </w:rPr>
        <w:t>项目</w:t>
      </w:r>
      <w:r>
        <w:rPr>
          <w:rFonts w:hint="eastAsia"/>
        </w:rPr>
        <w:t>排水采用雨污分流制，雨水通过管网排入厂区外雨水管网；生活污水</w:t>
      </w:r>
      <w:r>
        <w:rPr>
          <w:rFonts w:hint="eastAsia"/>
          <w:lang w:val="en-US" w:eastAsia="zh-CN"/>
        </w:rPr>
        <w:t>经化粪池处理后定期清运，不外排</w:t>
      </w:r>
      <w:r>
        <w:rPr>
          <w:rFonts w:hint="default"/>
        </w:rPr>
        <w:t>。</w:t>
      </w:r>
    </w:p>
    <w:p>
      <w:pPr>
        <w:bidi w:val="0"/>
        <w:rPr>
          <w:rFonts w:hint="eastAsia"/>
          <w:lang w:val="en-US" w:eastAsia="zh-CN"/>
        </w:rPr>
      </w:pPr>
      <w:r>
        <w:rPr>
          <w:rFonts w:hint="default"/>
          <w:lang w:eastAsia="zh-CN"/>
        </w:rPr>
        <w:t>项目</w:t>
      </w:r>
      <w:r>
        <w:rPr>
          <w:rFonts w:hint="eastAsia"/>
          <w:lang w:val="en-US" w:eastAsia="zh-CN"/>
        </w:rPr>
        <w:t>实际</w:t>
      </w:r>
      <w:r>
        <w:rPr>
          <w:rFonts w:hint="default"/>
          <w:lang w:eastAsia="zh-CN"/>
        </w:rPr>
        <w:t>水平衡见</w:t>
      </w:r>
      <w:r>
        <w:rPr>
          <w:rFonts w:hint="eastAsia"/>
          <w:lang w:val="en-US" w:eastAsia="zh-CN"/>
        </w:rPr>
        <w:t>下</w:t>
      </w:r>
      <w:r>
        <w:rPr>
          <w:rFonts w:hint="default"/>
          <w:lang w:eastAsia="zh-CN"/>
        </w:rPr>
        <w:t>图</w:t>
      </w:r>
      <w:r>
        <w:rPr>
          <w:rFonts w:hint="eastAsia"/>
          <w:lang w:eastAsia="zh-CN"/>
        </w:rPr>
        <w:t>：</w:t>
      </w:r>
    </w:p>
    <w:p>
      <w:pPr>
        <w:pStyle w:val="21"/>
        <w:bidi w:val="0"/>
      </w:pPr>
      <w:r>
        <w:object>
          <v:shape id="_x0000_i1026" o:spt="75" type="#_x0000_t75" style="height:263.75pt;width:415.0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5" r:id="rId10">
            <o:LockedField>false</o:LockedField>
          </o:OLEObject>
        </w:object>
      </w:r>
    </w:p>
    <w:p>
      <w:pPr>
        <w:pStyle w:val="24"/>
        <w:bidi w:val="0"/>
        <w:rPr>
          <w:rFonts w:hint="eastAsia"/>
          <w:lang w:val="en-US" w:eastAsia="zh-CN"/>
        </w:rPr>
      </w:pPr>
      <w:r>
        <w:rPr>
          <w:rFonts w:hint="eastAsia"/>
          <w:lang w:val="en-US" w:eastAsia="zh-CN"/>
        </w:rPr>
        <w:t xml:space="preserve">  </w:t>
      </w:r>
      <w:r>
        <w:rPr>
          <w:rFonts w:hint="default"/>
          <w:lang w:eastAsia="zh-CN"/>
        </w:rPr>
        <w:t>项目</w:t>
      </w:r>
      <w:r>
        <w:rPr>
          <w:rFonts w:hint="eastAsia"/>
          <w:lang w:val="en-US" w:eastAsia="zh-CN"/>
        </w:rPr>
        <w:t>实际</w:t>
      </w:r>
      <w:r>
        <w:rPr>
          <w:rFonts w:hint="default"/>
          <w:lang w:eastAsia="zh-CN"/>
        </w:rPr>
        <w:t>水平衡图</w:t>
      </w:r>
      <w:r>
        <w:rPr>
          <w:rFonts w:hint="eastAsia"/>
          <w:lang w:val="en-US" w:eastAsia="zh-CN"/>
        </w:rPr>
        <w:t xml:space="preserve">  单位：</w:t>
      </w:r>
      <w:r>
        <w:rPr>
          <w:rFonts w:hint="default"/>
          <w:lang w:eastAsia="zh-CN"/>
        </w:rPr>
        <w:t>m</w:t>
      </w:r>
      <w:r>
        <w:rPr>
          <w:rFonts w:hint="default"/>
          <w:vertAlign w:val="superscript"/>
          <w:lang w:eastAsia="zh-CN"/>
        </w:rPr>
        <w:t>3</w:t>
      </w:r>
      <w:r>
        <w:rPr>
          <w:rFonts w:hint="eastAsia"/>
          <w:lang w:val="en-US" w:eastAsia="zh-CN"/>
        </w:rPr>
        <w:t>/d</w:t>
      </w:r>
    </w:p>
    <w:bookmarkEnd w:id="83"/>
    <w:p>
      <w:pPr>
        <w:pStyle w:val="3"/>
        <w:bidi w:val="0"/>
        <w:rPr>
          <w:rFonts w:hint="default"/>
        </w:rPr>
      </w:pPr>
      <w:bookmarkStart w:id="96" w:name="_Toc21974"/>
      <w:bookmarkStart w:id="97" w:name="_Toc30092"/>
      <w:bookmarkStart w:id="98" w:name="_Toc27857"/>
      <w:bookmarkStart w:id="99" w:name="_Toc10828"/>
      <w:bookmarkStart w:id="100" w:name="_Toc24050"/>
      <w:bookmarkStart w:id="101" w:name="_Toc5056"/>
      <w:r>
        <w:rPr>
          <w:rFonts w:hint="default"/>
        </w:rPr>
        <w:t>生产工艺</w:t>
      </w:r>
      <w:bookmarkEnd w:id="96"/>
      <w:bookmarkEnd w:id="97"/>
      <w:bookmarkEnd w:id="98"/>
      <w:bookmarkEnd w:id="99"/>
      <w:bookmarkEnd w:id="100"/>
      <w:bookmarkEnd w:id="101"/>
    </w:p>
    <w:p>
      <w:pPr>
        <w:bidi w:val="0"/>
        <w:rPr>
          <w:rFonts w:hint="eastAsia"/>
          <w:b/>
          <w:bCs/>
          <w:lang w:eastAsia="zh-CN"/>
        </w:rPr>
      </w:pPr>
      <w:r>
        <w:rPr>
          <w:rFonts w:hint="default"/>
          <w:b/>
          <w:bCs/>
          <w:lang w:val="en-US" w:eastAsia="zh-CN"/>
        </w:rPr>
        <w:t>主要生产工艺流程及产污环节</w:t>
      </w:r>
      <w:bookmarkStart w:id="102" w:name="_Toc496979025"/>
      <w:bookmarkStart w:id="103" w:name="_Toc497001462"/>
      <w:r>
        <w:rPr>
          <w:rFonts w:hint="eastAsia"/>
          <w:b/>
          <w:bCs/>
          <w:lang w:val="en-US" w:eastAsia="zh-CN"/>
        </w:rPr>
        <w:t>如下：</w:t>
      </w:r>
    </w:p>
    <w:p>
      <w:pPr>
        <w:pStyle w:val="21"/>
        <w:bidi w:val="0"/>
        <w:rPr>
          <w:rFonts w:hint="eastAsia"/>
        </w:rPr>
      </w:pPr>
      <w:r>
        <w:rPr>
          <w:color w:val="000000"/>
        </w:rPr>
        <w:object>
          <v:shape id="_x0000_i1025" o:spt="75" type="#_x0000_t75" style="height:140.3pt;width:389.8pt;" o:ole="t" filled="f" o:preferrelative="t" stroked="f" coordsize="21600,21600">
            <v:path/>
            <v:fill on="f" focussize="0,0"/>
            <v:stroke on="f"/>
            <v:imagedata r:id="rId13" o:title=""/>
            <o:lock v:ext="edit" aspectratio="t"/>
            <w10:wrap type="none"/>
            <w10:anchorlock/>
          </v:shape>
          <o:OLEObject Type="Embed" ProgID="Visio.Drawing.15" ShapeID="_x0000_i1025" DrawAspect="Content" ObjectID="_1468075726" r:id="rId12">
            <o:LockedField>false</o:LockedField>
          </o:OLEObject>
        </w:object>
      </w:r>
    </w:p>
    <w:p>
      <w:pPr>
        <w:pStyle w:val="24"/>
        <w:bidi w:val="0"/>
        <w:rPr>
          <w:rFonts w:hint="eastAsia"/>
        </w:rPr>
      </w:pPr>
      <w:r>
        <w:rPr>
          <w:rFonts w:hint="default"/>
        </w:rPr>
        <w:t xml:space="preserve"> </w:t>
      </w:r>
      <w:r>
        <w:rPr>
          <w:rFonts w:hint="eastAsia"/>
        </w:rPr>
        <w:t xml:space="preserve">    生产工艺流程及产污环节示意图</w:t>
      </w:r>
    </w:p>
    <w:p>
      <w:pPr>
        <w:bidi w:val="0"/>
        <w:rPr>
          <w:rFonts w:hint="default"/>
          <w:b/>
          <w:bCs/>
        </w:rPr>
      </w:pPr>
      <w:bookmarkStart w:id="104" w:name="_Toc6000"/>
      <w:bookmarkStart w:id="105" w:name="_Toc16474"/>
      <w:r>
        <w:rPr>
          <w:rFonts w:hint="default"/>
          <w:b/>
          <w:bCs/>
        </w:rPr>
        <w:t>工艺流程简述：</w:t>
      </w:r>
      <w:bookmarkEnd w:id="104"/>
      <w:bookmarkEnd w:id="105"/>
    </w:p>
    <w:p>
      <w:pPr>
        <w:bidi w:val="0"/>
        <w:rPr>
          <w:rFonts w:hint="eastAsia"/>
          <w:lang w:val="en-US" w:eastAsia="zh-CN"/>
        </w:rPr>
      </w:pPr>
      <w:bookmarkStart w:id="106" w:name="_Toc16470"/>
      <w:bookmarkStart w:id="107" w:name="_Toc27113"/>
      <w:bookmarkStart w:id="108" w:name="_Toc12540"/>
      <w:bookmarkStart w:id="109" w:name="_Toc29600"/>
      <w:r>
        <w:rPr>
          <w:rFonts w:hint="eastAsia"/>
          <w:lang w:val="en-US" w:eastAsia="zh-CN"/>
        </w:rPr>
        <w:t>1、投料、混合：本项目外购原料及破碎回收原料，人工拆包后按照配方比例投入注塑机上料口中。混合过程在密闭的拌料机内进行，本项目原料均为大粒径的塑料颗粒，此过程无投料粉尘产生，会产生噪声。</w:t>
      </w:r>
    </w:p>
    <w:p>
      <w:pPr>
        <w:bidi w:val="0"/>
        <w:rPr>
          <w:rFonts w:hint="eastAsia"/>
          <w:lang w:val="en-US" w:eastAsia="zh-CN"/>
        </w:rPr>
      </w:pPr>
      <w:r>
        <w:rPr>
          <w:rFonts w:hint="eastAsia"/>
          <w:lang w:val="en-US" w:eastAsia="zh-CN"/>
        </w:rPr>
        <w:t>2、注塑：混合均匀的物料在注塑机上的挤出段电加热至200℃使塑料颗粒熔化，然后借助螺杆向熔化好的物料施加压力，迫使加热熔体充入到闭合模腔中。压制好的塑料制品在经过挤出生产线后段冷却水间接冷却过程中，温度逐渐下降，硬度增加。经过冷却和固化后制成具有一定几何形状和尺寸精度的塑料密封圈或其他塑料配件。该工序冷却水循环使用不外排。在注塑过程中会产生噪声和有机废气。</w:t>
      </w:r>
    </w:p>
    <w:p>
      <w:pPr>
        <w:bidi w:val="0"/>
        <w:rPr>
          <w:rFonts w:hint="eastAsia"/>
          <w:lang w:val="en-US" w:eastAsia="zh-CN"/>
        </w:rPr>
      </w:pPr>
      <w:r>
        <w:rPr>
          <w:rFonts w:hint="eastAsia"/>
          <w:lang w:val="en-US" w:eastAsia="zh-CN"/>
        </w:rPr>
        <w:t>注塑机注塑温度为200℃，原料PP的熔融温度在200℃~300℃，原料PBT的熔融温度在225℃~275℃，热分解温度均在310℃以上，熔融阶段未达到分解温度，理论上不会产生单体，仅有少量游离单体气体由于受到分子间的剪切挤压而释放。因此本工段会有少量有机废气产生，设备运行过程会产生噪声。</w:t>
      </w:r>
    </w:p>
    <w:p>
      <w:pPr>
        <w:bidi w:val="0"/>
        <w:rPr>
          <w:rFonts w:hint="eastAsia"/>
          <w:lang w:val="en-US" w:eastAsia="zh-CN"/>
        </w:rPr>
      </w:pPr>
      <w:r>
        <w:rPr>
          <w:rFonts w:hint="eastAsia"/>
          <w:lang w:val="en-US" w:eastAsia="zh-CN"/>
        </w:rPr>
        <w:t>注塑工序需要冷却水进行间接冷却，利用注塑机配备的冷却装置对加料口、模具进行冷却，冷却装置是一个封闭的循环系统，将冷却水分配到几个独立的回路上，并能对冷却介质的流量进行调节。厂内配套循环冷却水系统，冷却水循环使用不外排，仅需要时添加新鲜用水。</w:t>
      </w:r>
    </w:p>
    <w:p>
      <w:pPr>
        <w:bidi w:val="0"/>
        <w:rPr>
          <w:rFonts w:hint="eastAsia"/>
          <w:lang w:val="en-US" w:eastAsia="zh-CN"/>
        </w:rPr>
      </w:pPr>
      <w:r>
        <w:rPr>
          <w:rFonts w:hint="eastAsia"/>
          <w:lang w:val="en-US" w:eastAsia="zh-CN"/>
        </w:rPr>
        <w:t>3、检验：检验产品是否完整无缺，外观是否有瑕疵。将合格产品与不合格产品分开。此过程会产生不合格品，不合格产品经过破碎机破碎后直接回到注塑机上料口。</w:t>
      </w:r>
    </w:p>
    <w:p>
      <w:pPr>
        <w:bidi w:val="0"/>
        <w:rPr>
          <w:rFonts w:hint="eastAsia"/>
          <w:lang w:val="en-US" w:eastAsia="zh-CN"/>
        </w:rPr>
      </w:pPr>
      <w:r>
        <w:rPr>
          <w:rFonts w:hint="eastAsia"/>
          <w:lang w:val="en-US" w:eastAsia="zh-CN"/>
        </w:rPr>
        <w:t>4、包装、入库：对检验合格的成品进行包装、入库。</w:t>
      </w:r>
    </w:p>
    <w:p>
      <w:pPr>
        <w:bidi w:val="0"/>
        <w:rPr>
          <w:rFonts w:hint="eastAsia"/>
          <w:lang w:val="en-US" w:eastAsia="zh-CN"/>
        </w:rPr>
      </w:pPr>
      <w:r>
        <w:rPr>
          <w:rFonts w:hint="eastAsia"/>
          <w:lang w:val="en-US" w:eastAsia="zh-CN"/>
        </w:rPr>
        <w:t>5、破碎：该项目每台注塑机配套有小型粉碎装置，生产中产生的塑料边角料自动投入粉碎机的料斗内，经粉碎机内铰刀切割成片状，粉碎后的物料回用于生产。废边角料为注塑过程中切割下来的多余物料，表面较为清洁，且塑料属于相对比较稳定的物质，直接粉碎不会因与空气中的某些分子产生反应而产生黏胶状物质，粉碎后物料粒径较大（约1.5cm—2cm），且评价要求对注塑设备及操作区域密闭，因此不考虑粉碎粉尘的产生。</w:t>
      </w:r>
    </w:p>
    <w:p>
      <w:pPr>
        <w:pStyle w:val="3"/>
        <w:bidi w:val="0"/>
        <w:rPr>
          <w:rFonts w:hint="default"/>
          <w:lang w:val="en-US" w:eastAsia="zh-CN"/>
        </w:rPr>
      </w:pPr>
      <w:bookmarkStart w:id="110" w:name="_Toc1539"/>
      <w:bookmarkStart w:id="111" w:name="_Toc25219"/>
      <w:r>
        <w:rPr>
          <w:rFonts w:hint="default"/>
          <w:lang w:val="en-US" w:eastAsia="zh-CN"/>
        </w:rPr>
        <w:t>产污环节及治理措施</w:t>
      </w:r>
      <w:bookmarkEnd w:id="110"/>
    </w:p>
    <w:p>
      <w:pPr>
        <w:bidi w:val="0"/>
        <w:rPr>
          <w:rFonts w:hint="default"/>
          <w:lang w:val="en-US" w:eastAsia="zh-CN"/>
        </w:rPr>
      </w:pPr>
      <w:r>
        <w:rPr>
          <w:rFonts w:hint="eastAsia"/>
          <w:lang w:eastAsia="zh-CN"/>
        </w:rPr>
        <w:t>项目（</w:t>
      </w:r>
      <w:r>
        <w:rPr>
          <w:rFonts w:hint="eastAsia"/>
          <w:lang w:val="en-US" w:eastAsia="zh-CN"/>
        </w:rPr>
        <w:t>一期</w:t>
      </w:r>
      <w:r>
        <w:rPr>
          <w:rFonts w:hint="eastAsia"/>
          <w:lang w:eastAsia="zh-CN"/>
        </w:rPr>
        <w:t>）</w:t>
      </w:r>
      <w:r>
        <w:rPr>
          <w:rFonts w:hint="default"/>
          <w:lang w:val="en-US" w:eastAsia="zh-CN"/>
        </w:rPr>
        <w:t>产污环节及治理措施情况见下表：</w: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20"/>
        <w:bidi w:val="0"/>
      </w:pPr>
      <w:r>
        <w:rPr>
          <w:rFonts w:hint="eastAsia"/>
        </w:rPr>
        <w:t xml:space="preserve">     </w:t>
      </w:r>
      <w:r>
        <w:rPr>
          <w:rFonts w:hint="eastAsia"/>
          <w:lang w:val="en-US" w:eastAsia="zh-CN"/>
        </w:rPr>
        <w:t xml:space="preserve">           </w:t>
      </w:r>
      <w:r>
        <w:rPr>
          <w:rFonts w:hint="eastAsia"/>
        </w:rPr>
        <w:t xml:space="preserve">     产污环节一览表</w:t>
      </w:r>
    </w:p>
    <w:tbl>
      <w:tblPr>
        <w:tblStyle w:val="16"/>
        <w:tblW w:w="51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00"/>
        <w:gridCol w:w="700"/>
        <w:gridCol w:w="1461"/>
        <w:gridCol w:w="2111"/>
        <w:gridCol w:w="2111"/>
        <w:gridCol w:w="8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restart"/>
            <w:tcBorders>
              <w:tl2br w:val="nil"/>
              <w:tr2bl w:val="nil"/>
            </w:tcBorders>
            <w:vAlign w:val="center"/>
          </w:tcPr>
          <w:p>
            <w:pPr>
              <w:pStyle w:val="19"/>
              <w:bidi w:val="0"/>
              <w:rPr>
                <w:b/>
                <w:bCs w:val="0"/>
              </w:rPr>
            </w:pPr>
            <w:r>
              <w:rPr>
                <w:rFonts w:hint="eastAsia"/>
                <w:b/>
                <w:bCs w:val="0"/>
              </w:rPr>
              <w:t>污染因素</w:t>
            </w:r>
          </w:p>
        </w:tc>
        <w:tc>
          <w:tcPr>
            <w:tcW w:w="1400" w:type="dxa"/>
            <w:gridSpan w:val="2"/>
            <w:vMerge w:val="restart"/>
            <w:tcBorders>
              <w:tl2br w:val="nil"/>
              <w:tr2bl w:val="nil"/>
            </w:tcBorders>
            <w:vAlign w:val="center"/>
          </w:tcPr>
          <w:p>
            <w:pPr>
              <w:pStyle w:val="19"/>
              <w:bidi w:val="0"/>
              <w:rPr>
                <w:b/>
                <w:bCs w:val="0"/>
              </w:rPr>
            </w:pPr>
            <w:r>
              <w:rPr>
                <w:rFonts w:hint="eastAsia"/>
                <w:b/>
                <w:bCs w:val="0"/>
              </w:rPr>
              <w:t>污染工序</w:t>
            </w:r>
          </w:p>
        </w:tc>
        <w:tc>
          <w:tcPr>
            <w:tcW w:w="1461" w:type="dxa"/>
            <w:vMerge w:val="restart"/>
            <w:tcBorders>
              <w:tl2br w:val="nil"/>
              <w:tr2bl w:val="nil"/>
            </w:tcBorders>
            <w:vAlign w:val="center"/>
          </w:tcPr>
          <w:p>
            <w:pPr>
              <w:pStyle w:val="19"/>
              <w:bidi w:val="0"/>
              <w:rPr>
                <w:b/>
                <w:bCs w:val="0"/>
              </w:rPr>
            </w:pPr>
            <w:r>
              <w:rPr>
                <w:rFonts w:hint="eastAsia"/>
                <w:b/>
                <w:bCs w:val="0"/>
              </w:rPr>
              <w:t>污染物</w:t>
            </w:r>
          </w:p>
        </w:tc>
        <w:tc>
          <w:tcPr>
            <w:tcW w:w="4222" w:type="dxa"/>
            <w:gridSpan w:val="2"/>
            <w:tcBorders>
              <w:tl2br w:val="nil"/>
              <w:tr2bl w:val="nil"/>
            </w:tcBorders>
            <w:vAlign w:val="center"/>
          </w:tcPr>
          <w:p>
            <w:pPr>
              <w:pStyle w:val="19"/>
              <w:bidi w:val="0"/>
              <w:rPr>
                <w:rFonts w:hint="eastAsia"/>
                <w:b/>
                <w:bCs w:val="0"/>
              </w:rPr>
            </w:pPr>
            <w:r>
              <w:rPr>
                <w:rFonts w:hint="eastAsia"/>
                <w:b/>
                <w:bCs w:val="0"/>
              </w:rPr>
              <w:t>处理措施</w:t>
            </w:r>
          </w:p>
        </w:tc>
        <w:tc>
          <w:tcPr>
            <w:tcW w:w="888" w:type="dxa"/>
            <w:vMerge w:val="restart"/>
            <w:tcBorders>
              <w:tl2br w:val="nil"/>
              <w:tr2bl w:val="nil"/>
            </w:tcBorders>
            <w:vAlign w:val="center"/>
          </w:tcPr>
          <w:p>
            <w:pPr>
              <w:pStyle w:val="19"/>
              <w:bidi w:val="0"/>
              <w:rPr>
                <w:rFonts w:hint="eastAsia" w:eastAsia="宋体"/>
                <w:b/>
                <w:bCs w:val="0"/>
                <w:lang w:val="en-US" w:eastAsia="zh-CN"/>
              </w:rPr>
            </w:pPr>
            <w:r>
              <w:rPr>
                <w:rFonts w:hint="eastAsia"/>
                <w:b/>
                <w:bCs w:val="0"/>
                <w:lang w:val="en-US" w:eastAsia="zh-CN"/>
              </w:rPr>
              <w:t>对比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tcBorders>
              <w:tl2br w:val="nil"/>
              <w:tr2bl w:val="nil"/>
            </w:tcBorders>
            <w:vAlign w:val="center"/>
          </w:tcPr>
          <w:p>
            <w:pPr>
              <w:pStyle w:val="19"/>
              <w:bidi w:val="0"/>
            </w:pPr>
          </w:p>
        </w:tc>
        <w:tc>
          <w:tcPr>
            <w:tcW w:w="1400" w:type="dxa"/>
            <w:gridSpan w:val="2"/>
            <w:vMerge w:val="continue"/>
            <w:tcBorders>
              <w:tl2br w:val="nil"/>
              <w:tr2bl w:val="nil"/>
            </w:tcBorders>
            <w:vAlign w:val="center"/>
          </w:tcPr>
          <w:p>
            <w:pPr>
              <w:pStyle w:val="19"/>
              <w:bidi w:val="0"/>
            </w:pPr>
          </w:p>
        </w:tc>
        <w:tc>
          <w:tcPr>
            <w:tcW w:w="1461" w:type="dxa"/>
            <w:vMerge w:val="continue"/>
            <w:tcBorders>
              <w:tl2br w:val="nil"/>
              <w:tr2bl w:val="nil"/>
            </w:tcBorders>
            <w:vAlign w:val="center"/>
          </w:tcPr>
          <w:p>
            <w:pPr>
              <w:pStyle w:val="19"/>
              <w:bidi w:val="0"/>
            </w:pPr>
          </w:p>
        </w:tc>
        <w:tc>
          <w:tcPr>
            <w:tcW w:w="2111" w:type="dxa"/>
            <w:tcBorders>
              <w:tl2br w:val="nil"/>
              <w:tr2bl w:val="nil"/>
            </w:tcBorders>
            <w:vAlign w:val="center"/>
          </w:tcPr>
          <w:p>
            <w:pPr>
              <w:pStyle w:val="19"/>
              <w:bidi w:val="0"/>
              <w:rPr>
                <w:rFonts w:hint="eastAsia" w:eastAsia="宋体"/>
                <w:b/>
                <w:bCs w:val="0"/>
                <w:lang w:val="en-US" w:eastAsia="zh-CN"/>
              </w:rPr>
            </w:pPr>
            <w:r>
              <w:rPr>
                <w:rFonts w:hint="eastAsia"/>
                <w:b/>
                <w:bCs w:val="0"/>
                <w:lang w:val="en-US" w:eastAsia="zh-CN"/>
              </w:rPr>
              <w:t>环评</w:t>
            </w:r>
          </w:p>
        </w:tc>
        <w:tc>
          <w:tcPr>
            <w:tcW w:w="2111" w:type="dxa"/>
            <w:tcBorders>
              <w:tl2br w:val="nil"/>
              <w:tr2bl w:val="nil"/>
            </w:tcBorders>
            <w:vAlign w:val="center"/>
          </w:tcPr>
          <w:p>
            <w:pPr>
              <w:pStyle w:val="19"/>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pPr>
              <w:pStyle w:val="19"/>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37" w:type="dxa"/>
            <w:tcBorders>
              <w:tl2br w:val="nil"/>
              <w:tr2bl w:val="nil"/>
            </w:tcBorders>
            <w:vAlign w:val="center"/>
          </w:tcPr>
          <w:p>
            <w:pPr>
              <w:pStyle w:val="19"/>
              <w:bidi w:val="0"/>
            </w:pPr>
            <w:r>
              <w:rPr>
                <w:rFonts w:hint="eastAsia"/>
              </w:rPr>
              <w:t>废气</w:t>
            </w:r>
          </w:p>
        </w:tc>
        <w:tc>
          <w:tcPr>
            <w:tcW w:w="1400" w:type="dxa"/>
            <w:gridSpan w:val="2"/>
            <w:tcBorders>
              <w:tl2br w:val="nil"/>
              <w:tr2bl w:val="nil"/>
            </w:tcBorders>
            <w:vAlign w:val="center"/>
          </w:tcPr>
          <w:p>
            <w:pPr>
              <w:pStyle w:val="19"/>
              <w:bidi w:val="0"/>
              <w:rPr>
                <w:rFonts w:hint="default" w:eastAsia="宋体"/>
                <w:lang w:val="en-US" w:eastAsia="zh-CN"/>
              </w:rPr>
            </w:pPr>
            <w:r>
              <w:rPr>
                <w:rFonts w:hint="eastAsia"/>
                <w:lang w:val="en-US" w:eastAsia="zh-CN"/>
              </w:rPr>
              <w:t>注塑</w:t>
            </w:r>
          </w:p>
        </w:tc>
        <w:tc>
          <w:tcPr>
            <w:tcW w:w="1461" w:type="dxa"/>
            <w:tcBorders>
              <w:tl2br w:val="nil"/>
              <w:tr2bl w:val="nil"/>
            </w:tcBorders>
            <w:vAlign w:val="center"/>
          </w:tcPr>
          <w:p>
            <w:pPr>
              <w:pStyle w:val="19"/>
              <w:bidi w:val="0"/>
              <w:rPr>
                <w:rFonts w:hint="eastAsia" w:eastAsia="宋体"/>
                <w:lang w:eastAsia="zh-CN"/>
              </w:rPr>
            </w:pPr>
            <w:r>
              <w:rPr>
                <w:rFonts w:hint="eastAsia"/>
                <w:lang w:val="en-US" w:eastAsia="zh-CN"/>
              </w:rPr>
              <w:t>非甲烷总烃</w:t>
            </w:r>
          </w:p>
        </w:tc>
        <w:tc>
          <w:tcPr>
            <w:tcW w:w="2111" w:type="dxa"/>
            <w:tcBorders>
              <w:tl2br w:val="nil"/>
              <w:tr2bl w:val="nil"/>
            </w:tcBorders>
            <w:vAlign w:val="center"/>
          </w:tcPr>
          <w:p>
            <w:pPr>
              <w:pStyle w:val="19"/>
              <w:bidi w:val="0"/>
            </w:pPr>
            <w:r>
              <w:rPr>
                <w:rFonts w:hint="eastAsia"/>
                <w:lang w:val="en-US" w:eastAsia="zh-CN"/>
              </w:rPr>
              <w:t>密闭车间内负压收集+活性炭吸脱附装置-催化燃烧+15m高排气筒</w:t>
            </w:r>
          </w:p>
        </w:tc>
        <w:tc>
          <w:tcPr>
            <w:tcW w:w="2111" w:type="dxa"/>
            <w:tcBorders>
              <w:tl2br w:val="nil"/>
              <w:tr2bl w:val="nil"/>
            </w:tcBorders>
            <w:vAlign w:val="center"/>
          </w:tcPr>
          <w:p>
            <w:pPr>
              <w:pStyle w:val="19"/>
              <w:bidi w:val="0"/>
              <w:rPr>
                <w:rFonts w:hint="eastAsia"/>
                <w:lang w:val="en-US" w:eastAsia="zh-CN"/>
              </w:rPr>
            </w:pPr>
            <w:r>
              <w:rPr>
                <w:rFonts w:hint="eastAsia"/>
                <w:lang w:val="en-US" w:eastAsia="zh-CN"/>
              </w:rPr>
              <w:t>密闭车间内压收集+活性炭吸脱附装置-催化燃烧+20m高排气筒</w:t>
            </w:r>
          </w:p>
        </w:tc>
        <w:tc>
          <w:tcPr>
            <w:tcW w:w="888" w:type="dxa"/>
            <w:tcBorders>
              <w:tl2br w:val="nil"/>
              <w:tr2bl w:val="nil"/>
            </w:tcBorders>
            <w:vAlign w:val="center"/>
          </w:tcPr>
          <w:p>
            <w:pPr>
              <w:pStyle w:val="19"/>
              <w:bidi w:val="0"/>
              <w:rPr>
                <w:rFonts w:hint="default"/>
                <w:lang w:val="en-US" w:eastAsia="zh-CN"/>
              </w:rPr>
            </w:pPr>
            <w:r>
              <w:rPr>
                <w:rFonts w:hint="eastAsia"/>
                <w:color w:val="auto"/>
                <w:lang w:val="en-US" w:eastAsia="zh-CN"/>
              </w:rPr>
              <w:t>排气筒高度增加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tcBorders>
              <w:tl2br w:val="nil"/>
              <w:tr2bl w:val="nil"/>
            </w:tcBorders>
            <w:vAlign w:val="center"/>
          </w:tcPr>
          <w:p>
            <w:pPr>
              <w:pStyle w:val="19"/>
              <w:bidi w:val="0"/>
            </w:pPr>
            <w:r>
              <w:rPr>
                <w:rFonts w:hint="eastAsia"/>
              </w:rPr>
              <w:t>废水</w:t>
            </w:r>
          </w:p>
        </w:tc>
        <w:tc>
          <w:tcPr>
            <w:tcW w:w="1400" w:type="dxa"/>
            <w:gridSpan w:val="2"/>
            <w:tcBorders>
              <w:tl2br w:val="nil"/>
              <w:tr2bl w:val="nil"/>
            </w:tcBorders>
            <w:vAlign w:val="center"/>
          </w:tcPr>
          <w:p>
            <w:pPr>
              <w:pStyle w:val="19"/>
              <w:bidi w:val="0"/>
            </w:pPr>
            <w:r>
              <w:rPr>
                <w:rFonts w:hint="eastAsia"/>
                <w:lang w:val="en-US" w:eastAsia="zh-CN"/>
              </w:rPr>
              <w:t>生活污水</w:t>
            </w:r>
          </w:p>
        </w:tc>
        <w:tc>
          <w:tcPr>
            <w:tcW w:w="1461" w:type="dxa"/>
            <w:tcBorders>
              <w:tl2br w:val="nil"/>
              <w:tr2bl w:val="nil"/>
            </w:tcBorders>
            <w:vAlign w:val="center"/>
          </w:tcPr>
          <w:p>
            <w:pPr>
              <w:pStyle w:val="19"/>
              <w:bidi w:val="0"/>
            </w:pPr>
            <w:r>
              <w:rPr>
                <w:lang w:val="en-US" w:eastAsia="zh-CN"/>
              </w:rPr>
              <w:t>COD</w:t>
            </w:r>
            <w:r>
              <w:rPr>
                <w:rFonts w:hint="eastAsia"/>
                <w:lang w:val="en-US" w:eastAsia="zh-CN"/>
              </w:rPr>
              <w:t>、</w:t>
            </w:r>
            <w:r>
              <w:rPr>
                <w:lang w:val="en-US" w:eastAsia="zh-CN"/>
              </w:rPr>
              <w:t>SS</w:t>
            </w:r>
            <w:r>
              <w:rPr>
                <w:rFonts w:hint="eastAsia"/>
                <w:lang w:val="en-US" w:eastAsia="zh-CN"/>
              </w:rPr>
              <w:t>、</w:t>
            </w:r>
            <w:r>
              <w:rPr>
                <w:lang w:val="en-US" w:eastAsia="zh-CN"/>
              </w:rPr>
              <w:t>NH</w:t>
            </w:r>
            <w:r>
              <w:rPr>
                <w:vertAlign w:val="subscript"/>
                <w:lang w:val="en-US" w:eastAsia="zh-CN"/>
              </w:rPr>
              <w:t>3</w:t>
            </w:r>
            <w:r>
              <w:rPr>
                <w:lang w:val="en-US" w:eastAsia="zh-CN"/>
              </w:rPr>
              <w:t>-N</w:t>
            </w:r>
            <w:r>
              <w:rPr>
                <w:rFonts w:hint="eastAsia"/>
                <w:lang w:val="en-US" w:eastAsia="zh-CN"/>
              </w:rPr>
              <w:t>、</w:t>
            </w:r>
            <w:r>
              <w:rPr>
                <w:lang w:val="en-US" w:eastAsia="zh-CN"/>
              </w:rPr>
              <w:t>TP</w:t>
            </w:r>
            <w:r>
              <w:rPr>
                <w:rFonts w:hint="eastAsia"/>
                <w:lang w:val="en-US" w:eastAsia="zh-CN"/>
              </w:rPr>
              <w:t>等</w:t>
            </w:r>
          </w:p>
        </w:tc>
        <w:tc>
          <w:tcPr>
            <w:tcW w:w="2111" w:type="dxa"/>
            <w:tcBorders>
              <w:tl2br w:val="nil"/>
              <w:tr2bl w:val="nil"/>
            </w:tcBorders>
            <w:vAlign w:val="center"/>
          </w:tcPr>
          <w:p>
            <w:pPr>
              <w:pStyle w:val="19"/>
              <w:bidi w:val="0"/>
              <w:rPr>
                <w:rFonts w:hint="eastAsia" w:eastAsia="宋体"/>
                <w:lang w:eastAsia="zh-CN"/>
              </w:rPr>
            </w:pPr>
            <w:r>
              <w:rPr>
                <w:rFonts w:hint="eastAsia"/>
              </w:rPr>
              <w:t>生活污水</w:t>
            </w:r>
            <w:r>
              <w:rPr>
                <w:rFonts w:hint="eastAsia"/>
                <w:lang w:val="en-US" w:eastAsia="zh-CN"/>
              </w:rPr>
              <w:t>经化粪池处理后定期清运，不外排</w:t>
            </w:r>
            <w:r>
              <w:rPr>
                <w:rFonts w:hint="eastAsia"/>
                <w:lang w:eastAsia="zh-CN"/>
              </w:rPr>
              <w:t>。</w:t>
            </w:r>
          </w:p>
        </w:tc>
        <w:tc>
          <w:tcPr>
            <w:tcW w:w="2111"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生活污水</w:t>
            </w:r>
            <w:r>
              <w:rPr>
                <w:rFonts w:hint="eastAsia"/>
                <w:lang w:val="en-US" w:eastAsia="zh-CN"/>
              </w:rPr>
              <w:t>经化粪池处理后定期清运，不外排</w:t>
            </w:r>
            <w:r>
              <w:rPr>
                <w:rFonts w:hint="eastAsia"/>
                <w:lang w:eastAsia="zh-CN"/>
              </w:rPr>
              <w:t>。</w:t>
            </w:r>
          </w:p>
        </w:tc>
        <w:tc>
          <w:tcPr>
            <w:tcW w:w="888" w:type="dxa"/>
            <w:tcBorders>
              <w:tl2br w:val="nil"/>
              <w:tr2bl w:val="nil"/>
            </w:tcBorders>
            <w:vAlign w:val="center"/>
          </w:tcPr>
          <w:p>
            <w:pPr>
              <w:pStyle w:val="19"/>
              <w:bidi w:val="0"/>
              <w:rPr>
                <w:rFonts w:hint="eastAsia"/>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tcBorders>
              <w:tl2br w:val="nil"/>
              <w:tr2bl w:val="nil"/>
            </w:tcBorders>
            <w:vAlign w:val="center"/>
          </w:tcPr>
          <w:p>
            <w:pPr>
              <w:pStyle w:val="19"/>
              <w:bidi w:val="0"/>
            </w:pPr>
            <w:r>
              <w:rPr>
                <w:rFonts w:hint="eastAsia"/>
              </w:rPr>
              <w:t>噪声</w:t>
            </w:r>
          </w:p>
        </w:tc>
        <w:tc>
          <w:tcPr>
            <w:tcW w:w="1400" w:type="dxa"/>
            <w:gridSpan w:val="2"/>
            <w:tcBorders>
              <w:tl2br w:val="nil"/>
              <w:tr2bl w:val="nil"/>
            </w:tcBorders>
            <w:vAlign w:val="center"/>
          </w:tcPr>
          <w:p>
            <w:pPr>
              <w:pStyle w:val="19"/>
              <w:bidi w:val="0"/>
            </w:pPr>
            <w:r>
              <w:rPr>
                <w:rFonts w:hint="eastAsia"/>
              </w:rPr>
              <w:t>混料、注塑、破碎工段等</w:t>
            </w:r>
          </w:p>
        </w:tc>
        <w:tc>
          <w:tcPr>
            <w:tcW w:w="1461" w:type="dxa"/>
            <w:tcBorders>
              <w:tl2br w:val="nil"/>
              <w:tr2bl w:val="nil"/>
            </w:tcBorders>
            <w:vAlign w:val="center"/>
          </w:tcPr>
          <w:p>
            <w:pPr>
              <w:pStyle w:val="19"/>
              <w:bidi w:val="0"/>
            </w:pPr>
            <w:r>
              <w:rPr>
                <w:rFonts w:hint="eastAsia"/>
              </w:rPr>
              <w:t>设备噪声</w:t>
            </w:r>
          </w:p>
        </w:tc>
        <w:tc>
          <w:tcPr>
            <w:tcW w:w="2111" w:type="dxa"/>
            <w:tcBorders>
              <w:tl2br w:val="nil"/>
              <w:tr2bl w:val="nil"/>
            </w:tcBorders>
            <w:vAlign w:val="center"/>
          </w:tcPr>
          <w:p>
            <w:pPr>
              <w:pStyle w:val="19"/>
              <w:bidi w:val="0"/>
            </w:pPr>
            <w:r>
              <w:rPr>
                <w:rFonts w:hint="eastAsia"/>
              </w:rPr>
              <w:t>基础减振、厂房隔声</w:t>
            </w:r>
          </w:p>
        </w:tc>
        <w:tc>
          <w:tcPr>
            <w:tcW w:w="2111" w:type="dxa"/>
            <w:tcBorders>
              <w:tl2br w:val="nil"/>
              <w:tr2bl w:val="nil"/>
            </w:tcBorders>
            <w:vAlign w:val="center"/>
          </w:tcPr>
          <w:p>
            <w:pPr>
              <w:pStyle w:val="19"/>
              <w:bidi w:val="0"/>
              <w:rPr>
                <w:rFonts w:hint="eastAsia"/>
              </w:rPr>
            </w:pPr>
            <w:r>
              <w:rPr>
                <w:rFonts w:hint="eastAsia"/>
              </w:rPr>
              <w:t>基础减振、厂房隔声</w:t>
            </w:r>
          </w:p>
        </w:tc>
        <w:tc>
          <w:tcPr>
            <w:tcW w:w="888" w:type="dxa"/>
            <w:tcBorders>
              <w:tl2br w:val="nil"/>
              <w:tr2bl w:val="nil"/>
            </w:tcBorders>
            <w:vAlign w:val="center"/>
          </w:tcPr>
          <w:p>
            <w:pPr>
              <w:pStyle w:val="19"/>
              <w:bidi w:val="0"/>
              <w:rPr>
                <w:rFonts w:hint="eastAsia"/>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restart"/>
            <w:tcBorders>
              <w:tl2br w:val="nil"/>
              <w:tr2bl w:val="nil"/>
            </w:tcBorders>
            <w:vAlign w:val="center"/>
          </w:tcPr>
          <w:p>
            <w:pPr>
              <w:pStyle w:val="19"/>
              <w:bidi w:val="0"/>
            </w:pPr>
            <w:r>
              <w:rPr>
                <w:rFonts w:hint="eastAsia"/>
              </w:rPr>
              <w:t>固废</w:t>
            </w:r>
          </w:p>
        </w:tc>
        <w:tc>
          <w:tcPr>
            <w:tcW w:w="700" w:type="dxa"/>
            <w:vMerge w:val="restart"/>
            <w:tcBorders>
              <w:tl2br w:val="nil"/>
              <w:tr2bl w:val="nil"/>
            </w:tcBorders>
            <w:vAlign w:val="center"/>
          </w:tcPr>
          <w:p>
            <w:pPr>
              <w:pStyle w:val="19"/>
              <w:bidi w:val="0"/>
              <w:rPr>
                <w:rFonts w:hint="default" w:eastAsia="宋体"/>
                <w:lang w:val="en-US" w:eastAsia="zh-CN"/>
              </w:rPr>
            </w:pPr>
            <w:r>
              <w:rPr>
                <w:rFonts w:hint="eastAsia"/>
                <w:lang w:val="en-US" w:eastAsia="zh-CN"/>
              </w:rPr>
              <w:t>一般固废</w:t>
            </w:r>
          </w:p>
        </w:tc>
        <w:tc>
          <w:tcPr>
            <w:tcW w:w="700"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原料包装</w:t>
            </w:r>
          </w:p>
        </w:tc>
        <w:tc>
          <w:tcPr>
            <w:tcW w:w="1461" w:type="dxa"/>
            <w:tcBorders>
              <w:tl2br w:val="nil"/>
              <w:tr2bl w:val="nil"/>
            </w:tcBorders>
            <w:vAlign w:val="center"/>
          </w:tcPr>
          <w:p>
            <w:pPr>
              <w:pStyle w:val="19"/>
              <w:ind w:firstLine="0" w:firstLineChars="0"/>
            </w:pPr>
            <w:r>
              <w:t>废包装袋</w:t>
            </w:r>
          </w:p>
        </w:tc>
        <w:tc>
          <w:tcPr>
            <w:tcW w:w="2111" w:type="dxa"/>
            <w:tcBorders>
              <w:tl2br w:val="nil"/>
              <w:tr2bl w:val="nil"/>
            </w:tcBorders>
            <w:vAlign w:val="center"/>
          </w:tcPr>
          <w:p>
            <w:pPr>
              <w:pStyle w:val="19"/>
              <w:bidi w:val="0"/>
              <w:rPr>
                <w:rFonts w:hint="default"/>
                <w:lang w:val="en-US"/>
              </w:rPr>
            </w:pPr>
            <w:r>
              <w:t>一般固废堆场暂存，定期外售</w:t>
            </w:r>
          </w:p>
        </w:tc>
        <w:tc>
          <w:tcPr>
            <w:tcW w:w="2111" w:type="dxa"/>
            <w:tcBorders>
              <w:tl2br w:val="nil"/>
              <w:tr2bl w:val="nil"/>
            </w:tcBorders>
            <w:vAlign w:val="center"/>
          </w:tcPr>
          <w:p>
            <w:pPr>
              <w:pStyle w:val="19"/>
              <w:bidi w:val="0"/>
              <w:ind w:firstLine="0" w:firstLineChars="0"/>
              <w:rPr>
                <w:rFonts w:hint="default" w:eastAsia="宋体"/>
                <w:lang w:val="en-US" w:eastAsia="zh-CN"/>
              </w:rPr>
            </w:pPr>
            <w:r>
              <w:t>一般固废堆场暂存，定期外售</w:t>
            </w:r>
          </w:p>
        </w:tc>
        <w:tc>
          <w:tcPr>
            <w:tcW w:w="888" w:type="dxa"/>
            <w:vMerge w:val="restart"/>
            <w:tcBorders>
              <w:tl2br w:val="nil"/>
              <w:tr2bl w:val="nil"/>
            </w:tcBorders>
            <w:vAlign w:val="center"/>
          </w:tcPr>
          <w:p>
            <w:pPr>
              <w:pStyle w:val="19"/>
              <w:bidi w:val="0"/>
              <w:rPr>
                <w:rFonts w:hint="default" w:eastAsia="宋体"/>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tcBorders>
              <w:tl2br w:val="nil"/>
              <w:tr2bl w:val="nil"/>
            </w:tcBorders>
            <w:vAlign w:val="center"/>
          </w:tcPr>
          <w:p>
            <w:pPr>
              <w:pStyle w:val="19"/>
              <w:bidi w:val="0"/>
              <w:rPr>
                <w:rFonts w:hint="eastAsia"/>
              </w:rPr>
            </w:pPr>
          </w:p>
        </w:tc>
        <w:tc>
          <w:tcPr>
            <w:tcW w:w="700" w:type="dxa"/>
            <w:vMerge w:val="continue"/>
            <w:tcBorders>
              <w:tl2br w:val="nil"/>
              <w:tr2bl w:val="nil"/>
            </w:tcBorders>
            <w:vAlign w:val="center"/>
          </w:tcPr>
          <w:p>
            <w:pPr>
              <w:pStyle w:val="19"/>
              <w:bidi w:val="0"/>
              <w:rPr>
                <w:rFonts w:hint="eastAsia" w:eastAsia="宋体"/>
                <w:lang w:val="en-US" w:eastAsia="zh-CN"/>
              </w:rPr>
            </w:pPr>
          </w:p>
        </w:tc>
        <w:tc>
          <w:tcPr>
            <w:tcW w:w="700"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检验</w:t>
            </w:r>
          </w:p>
        </w:tc>
        <w:tc>
          <w:tcPr>
            <w:tcW w:w="1461" w:type="dxa"/>
            <w:tcBorders>
              <w:tl2br w:val="nil"/>
              <w:tr2bl w:val="nil"/>
            </w:tcBorders>
            <w:vAlign w:val="center"/>
          </w:tcPr>
          <w:p>
            <w:pPr>
              <w:pStyle w:val="19"/>
              <w:ind w:firstLine="0" w:firstLineChars="0"/>
              <w:rPr>
                <w:rFonts w:hint="eastAsia"/>
                <w:lang w:val="en-US" w:eastAsia="zh-CN"/>
              </w:rPr>
            </w:pPr>
            <w:r>
              <w:t>不合格产品</w:t>
            </w:r>
          </w:p>
        </w:tc>
        <w:tc>
          <w:tcPr>
            <w:tcW w:w="2111" w:type="dxa"/>
            <w:tcBorders>
              <w:tl2br w:val="nil"/>
              <w:tr2bl w:val="nil"/>
            </w:tcBorders>
            <w:vAlign w:val="center"/>
          </w:tcPr>
          <w:p>
            <w:pPr>
              <w:pStyle w:val="19"/>
              <w:bidi w:val="0"/>
              <w:rPr>
                <w:rFonts w:hint="eastAsia"/>
                <w:lang w:val="en-US" w:eastAsia="zh-CN"/>
              </w:rPr>
            </w:pPr>
            <w:r>
              <w:t>破碎后回用于生产线</w:t>
            </w:r>
          </w:p>
        </w:tc>
        <w:tc>
          <w:tcPr>
            <w:tcW w:w="2111" w:type="dxa"/>
            <w:tcBorders>
              <w:tl2br w:val="nil"/>
              <w:tr2bl w:val="nil"/>
            </w:tcBorders>
            <w:vAlign w:val="center"/>
          </w:tcPr>
          <w:p>
            <w:pPr>
              <w:pStyle w:val="19"/>
              <w:bidi w:val="0"/>
              <w:ind w:firstLine="0" w:firstLineChars="0"/>
              <w:rPr>
                <w:rFonts w:hint="eastAsia"/>
                <w:lang w:val="en-US" w:eastAsia="zh-CN"/>
              </w:rPr>
            </w:pPr>
            <w:r>
              <w:t>破碎后回用于生产线</w:t>
            </w:r>
          </w:p>
        </w:tc>
        <w:tc>
          <w:tcPr>
            <w:tcW w:w="888" w:type="dxa"/>
            <w:vMerge w:val="continue"/>
            <w:tcBorders>
              <w:tl2br w:val="nil"/>
              <w:tr2bl w:val="nil"/>
            </w:tcBorders>
            <w:vAlign w:val="center"/>
          </w:tcPr>
          <w:p>
            <w:pPr>
              <w:pStyle w:val="19"/>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tcBorders>
              <w:tl2br w:val="nil"/>
              <w:tr2bl w:val="nil"/>
            </w:tcBorders>
            <w:vAlign w:val="center"/>
          </w:tcPr>
          <w:p>
            <w:pPr>
              <w:pStyle w:val="19"/>
              <w:bidi w:val="0"/>
              <w:rPr>
                <w:rFonts w:hint="eastAsia"/>
              </w:rPr>
            </w:pPr>
          </w:p>
        </w:tc>
        <w:tc>
          <w:tcPr>
            <w:tcW w:w="700" w:type="dxa"/>
            <w:vMerge w:val="restart"/>
            <w:tcBorders>
              <w:tl2br w:val="nil"/>
              <w:tr2bl w:val="nil"/>
            </w:tcBorders>
            <w:vAlign w:val="center"/>
          </w:tcPr>
          <w:p>
            <w:pPr>
              <w:pStyle w:val="19"/>
              <w:bidi w:val="0"/>
              <w:rPr>
                <w:rFonts w:hint="default"/>
                <w:lang w:val="en-US" w:eastAsia="zh-CN"/>
              </w:rPr>
            </w:pPr>
            <w:r>
              <w:rPr>
                <w:rFonts w:hint="eastAsia"/>
                <w:lang w:val="en-US" w:eastAsia="zh-CN"/>
              </w:rPr>
              <w:t>危险废物</w:t>
            </w:r>
          </w:p>
        </w:tc>
        <w:tc>
          <w:tcPr>
            <w:tcW w:w="700" w:type="dxa"/>
            <w:tcBorders>
              <w:tl2br w:val="nil"/>
              <w:tr2bl w:val="nil"/>
            </w:tcBorders>
            <w:vAlign w:val="center"/>
          </w:tcPr>
          <w:p>
            <w:pPr>
              <w:pStyle w:val="19"/>
              <w:bidi w:val="0"/>
              <w:rPr>
                <w:rFonts w:hint="default"/>
                <w:lang w:val="en-US" w:eastAsia="zh-CN"/>
              </w:rPr>
            </w:pPr>
            <w:r>
              <w:rPr>
                <w:rFonts w:hint="eastAsia"/>
                <w:lang w:val="en-US" w:eastAsia="zh-CN"/>
              </w:rPr>
              <w:t>设备维护</w:t>
            </w:r>
          </w:p>
        </w:tc>
        <w:tc>
          <w:tcPr>
            <w:tcW w:w="1461" w:type="dxa"/>
            <w:tcBorders>
              <w:tl2br w:val="nil"/>
              <w:tr2bl w:val="nil"/>
            </w:tcBorders>
            <w:vAlign w:val="center"/>
          </w:tcPr>
          <w:p>
            <w:pPr>
              <w:pStyle w:val="19"/>
              <w:bidi w:val="0"/>
            </w:pPr>
            <w:r>
              <w:t>废液压油</w:t>
            </w:r>
          </w:p>
        </w:tc>
        <w:tc>
          <w:tcPr>
            <w:tcW w:w="2111" w:type="dxa"/>
            <w:vMerge w:val="restart"/>
            <w:tcBorders>
              <w:tl2br w:val="nil"/>
              <w:tr2bl w:val="nil"/>
            </w:tcBorders>
            <w:vAlign w:val="center"/>
          </w:tcPr>
          <w:p>
            <w:pPr>
              <w:pStyle w:val="19"/>
              <w:bidi w:val="0"/>
              <w:rPr>
                <w:color w:val="auto"/>
              </w:rPr>
            </w:pPr>
            <w:r>
              <w:rPr>
                <w:rFonts w:hint="eastAsia"/>
                <w:color w:val="auto"/>
              </w:rPr>
              <w:t>专用容器收集后暂存于危废间，定期由有危废处理资质单位回收处置</w:t>
            </w:r>
          </w:p>
        </w:tc>
        <w:tc>
          <w:tcPr>
            <w:tcW w:w="2111" w:type="dxa"/>
            <w:vMerge w:val="restart"/>
            <w:tcBorders>
              <w:tl2br w:val="nil"/>
              <w:tr2bl w:val="nil"/>
            </w:tcBorders>
            <w:vAlign w:val="center"/>
          </w:tcPr>
          <w:p>
            <w:pPr>
              <w:pStyle w:val="19"/>
              <w:bidi w:val="0"/>
              <w:rPr>
                <w:rFonts w:hint="default" w:eastAsia="宋体"/>
                <w:color w:val="auto"/>
                <w:lang w:val="en-US" w:eastAsia="zh-CN"/>
              </w:rPr>
            </w:pPr>
            <w:r>
              <w:rPr>
                <w:rFonts w:hint="eastAsia"/>
                <w:color w:val="auto"/>
              </w:rPr>
              <w:t>专用容器收集后暂存于危废间，定期由</w:t>
            </w:r>
            <w:r>
              <w:rPr>
                <w:rFonts w:hint="eastAsia" w:eastAsia="宋体"/>
                <w:color w:val="auto"/>
                <w:lang w:val="en-US" w:eastAsia="zh-CN"/>
              </w:rPr>
              <w:t>新乡威斯特环保科技有限公司</w:t>
            </w:r>
            <w:r>
              <w:rPr>
                <w:rFonts w:hint="eastAsia"/>
                <w:color w:val="auto"/>
                <w:lang w:val="en-US" w:eastAsia="zh-CN"/>
              </w:rPr>
              <w:t>收集处理</w:t>
            </w:r>
          </w:p>
        </w:tc>
        <w:tc>
          <w:tcPr>
            <w:tcW w:w="888" w:type="dxa"/>
            <w:vMerge w:val="restart"/>
            <w:tcBorders>
              <w:tl2br w:val="nil"/>
              <w:tr2bl w:val="nil"/>
            </w:tcBorders>
            <w:vAlign w:val="center"/>
          </w:tcPr>
          <w:p>
            <w:pPr>
              <w:pStyle w:val="19"/>
              <w:bidi w:val="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tcBorders>
              <w:tl2br w:val="nil"/>
              <w:tr2bl w:val="nil"/>
            </w:tcBorders>
            <w:vAlign w:val="center"/>
          </w:tcPr>
          <w:p>
            <w:pPr>
              <w:pStyle w:val="19"/>
              <w:bidi w:val="0"/>
              <w:rPr>
                <w:rFonts w:hint="eastAsia"/>
              </w:rPr>
            </w:pPr>
          </w:p>
        </w:tc>
        <w:tc>
          <w:tcPr>
            <w:tcW w:w="700" w:type="dxa"/>
            <w:vMerge w:val="continue"/>
            <w:tcBorders>
              <w:tl2br w:val="nil"/>
              <w:tr2bl w:val="nil"/>
            </w:tcBorders>
            <w:vAlign w:val="center"/>
          </w:tcPr>
          <w:p>
            <w:pPr>
              <w:pStyle w:val="19"/>
              <w:bidi w:val="0"/>
              <w:rPr>
                <w:rFonts w:hint="eastAsia"/>
                <w:lang w:val="en-US" w:eastAsia="zh-CN"/>
              </w:rPr>
            </w:pPr>
          </w:p>
        </w:tc>
        <w:tc>
          <w:tcPr>
            <w:tcW w:w="700" w:type="dxa"/>
            <w:vMerge w:val="restart"/>
            <w:tcBorders>
              <w:tl2br w:val="nil"/>
              <w:tr2bl w:val="nil"/>
            </w:tcBorders>
            <w:vAlign w:val="center"/>
          </w:tcPr>
          <w:p>
            <w:pPr>
              <w:pStyle w:val="19"/>
              <w:bidi w:val="0"/>
              <w:rPr>
                <w:rFonts w:hint="default"/>
                <w:lang w:val="en-US" w:eastAsia="zh-CN"/>
              </w:rPr>
            </w:pPr>
            <w:r>
              <w:rPr>
                <w:rFonts w:hint="eastAsia"/>
                <w:lang w:val="en-US" w:eastAsia="zh-CN"/>
              </w:rPr>
              <w:t>废气处理</w:t>
            </w:r>
          </w:p>
        </w:tc>
        <w:tc>
          <w:tcPr>
            <w:tcW w:w="1461" w:type="dxa"/>
            <w:tcBorders>
              <w:tl2br w:val="nil"/>
              <w:tr2bl w:val="nil"/>
            </w:tcBorders>
            <w:vAlign w:val="center"/>
          </w:tcPr>
          <w:p>
            <w:pPr>
              <w:pStyle w:val="19"/>
              <w:bidi w:val="0"/>
            </w:pPr>
            <w:r>
              <w:t>废活性炭</w:t>
            </w:r>
          </w:p>
        </w:tc>
        <w:tc>
          <w:tcPr>
            <w:tcW w:w="2111" w:type="dxa"/>
            <w:vMerge w:val="continue"/>
            <w:tcBorders>
              <w:tl2br w:val="nil"/>
              <w:tr2bl w:val="nil"/>
            </w:tcBorders>
            <w:vAlign w:val="center"/>
          </w:tcPr>
          <w:p>
            <w:pPr>
              <w:pStyle w:val="19"/>
              <w:bidi w:val="0"/>
            </w:pPr>
          </w:p>
        </w:tc>
        <w:tc>
          <w:tcPr>
            <w:tcW w:w="2111" w:type="dxa"/>
            <w:vMerge w:val="continue"/>
            <w:tcBorders>
              <w:tl2br w:val="nil"/>
              <w:tr2bl w:val="nil"/>
            </w:tcBorders>
            <w:vAlign w:val="center"/>
          </w:tcPr>
          <w:p>
            <w:pPr>
              <w:pStyle w:val="19"/>
              <w:bidi w:val="0"/>
              <w:ind w:firstLine="0" w:firstLineChars="0"/>
            </w:pPr>
          </w:p>
        </w:tc>
        <w:tc>
          <w:tcPr>
            <w:tcW w:w="888" w:type="dxa"/>
            <w:vMerge w:val="continue"/>
            <w:tcBorders>
              <w:tl2br w:val="nil"/>
              <w:tr2bl w:val="nil"/>
            </w:tcBorders>
            <w:vAlign w:val="center"/>
          </w:tcPr>
          <w:p>
            <w:pPr>
              <w:pStyle w:val="19"/>
              <w:bidi w:val="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7" w:type="dxa"/>
            <w:vMerge w:val="continue"/>
            <w:tcBorders>
              <w:tl2br w:val="nil"/>
              <w:tr2bl w:val="nil"/>
            </w:tcBorders>
            <w:vAlign w:val="center"/>
          </w:tcPr>
          <w:p>
            <w:pPr>
              <w:pStyle w:val="19"/>
              <w:bidi w:val="0"/>
            </w:pPr>
          </w:p>
        </w:tc>
        <w:tc>
          <w:tcPr>
            <w:tcW w:w="700" w:type="dxa"/>
            <w:vMerge w:val="continue"/>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p>
        </w:tc>
        <w:tc>
          <w:tcPr>
            <w:tcW w:w="700" w:type="dxa"/>
            <w:vMerge w:val="continue"/>
            <w:tcBorders>
              <w:tl2br w:val="nil"/>
              <w:tr2bl w:val="nil"/>
            </w:tcBorders>
            <w:vAlign w:val="center"/>
          </w:tcPr>
          <w:p>
            <w:pPr>
              <w:pStyle w:val="19"/>
              <w:bidi w:val="0"/>
              <w:ind w:firstLine="0" w:firstLineChars="0"/>
              <w:rPr>
                <w:rFonts w:hint="eastAsia"/>
              </w:rPr>
            </w:pPr>
          </w:p>
        </w:tc>
        <w:tc>
          <w:tcPr>
            <w:tcW w:w="1461" w:type="dxa"/>
            <w:tcBorders>
              <w:tl2br w:val="nil"/>
              <w:tr2bl w:val="nil"/>
            </w:tcBorders>
            <w:vAlign w:val="center"/>
          </w:tcPr>
          <w:p>
            <w:pPr>
              <w:pStyle w:val="19"/>
              <w:bidi w:val="0"/>
              <w:rPr>
                <w:rFonts w:hint="eastAsia"/>
                <w:lang w:val="en-US" w:eastAsia="zh-CN"/>
              </w:rPr>
            </w:pPr>
            <w:r>
              <w:t>废催化剂</w:t>
            </w:r>
          </w:p>
        </w:tc>
        <w:tc>
          <w:tcPr>
            <w:tcW w:w="2111" w:type="dxa"/>
            <w:vMerge w:val="continue"/>
            <w:tcBorders>
              <w:tl2br w:val="nil"/>
              <w:tr2bl w:val="nil"/>
            </w:tcBorders>
            <w:vAlign w:val="center"/>
          </w:tcPr>
          <w:p>
            <w:pPr>
              <w:pStyle w:val="19"/>
              <w:bidi w:val="0"/>
            </w:pPr>
          </w:p>
        </w:tc>
        <w:tc>
          <w:tcPr>
            <w:tcW w:w="2111" w:type="dxa"/>
            <w:vMerge w:val="continue"/>
            <w:tcBorders>
              <w:tl2br w:val="nil"/>
              <w:tr2bl w:val="nil"/>
            </w:tcBorders>
            <w:vAlign w:val="center"/>
          </w:tcPr>
          <w:p>
            <w:pPr>
              <w:pStyle w:val="19"/>
              <w:bidi w:val="0"/>
              <w:rPr>
                <w:rFonts w:hint="eastAsia" w:eastAsia="宋体"/>
                <w:lang w:val="en-US" w:eastAsia="zh-CN"/>
              </w:rPr>
            </w:pPr>
          </w:p>
        </w:tc>
        <w:tc>
          <w:tcPr>
            <w:tcW w:w="888" w:type="dxa"/>
            <w:vMerge w:val="continue"/>
            <w:tcBorders>
              <w:tl2br w:val="nil"/>
              <w:tr2bl w:val="nil"/>
            </w:tcBorders>
            <w:vAlign w:val="center"/>
          </w:tcPr>
          <w:p>
            <w:pPr>
              <w:pStyle w:val="19"/>
              <w:bidi w:val="0"/>
              <w:rPr>
                <w:rFonts w:hint="eastAsia"/>
              </w:rPr>
            </w:pPr>
          </w:p>
        </w:tc>
      </w:tr>
    </w:tbl>
    <w:p>
      <w:pPr>
        <w:bidi w:val="0"/>
        <w:rPr>
          <w:rFonts w:hint="default"/>
          <w:color w:val="auto"/>
          <w:lang w:val="en-US" w:eastAsia="zh-CN"/>
        </w:rPr>
      </w:pPr>
      <w:r>
        <w:rPr>
          <w:rFonts w:hint="eastAsia"/>
          <w:b/>
          <w:bCs/>
          <w:color w:val="auto"/>
          <w:lang w:val="en-US" w:eastAsia="zh-CN"/>
        </w:rPr>
        <w:t>治理措施变动情况</w:t>
      </w:r>
      <w:r>
        <w:rPr>
          <w:rFonts w:hint="default"/>
          <w:b/>
          <w:bCs/>
          <w:color w:val="auto"/>
          <w:lang w:val="en-US" w:eastAsia="zh-CN"/>
        </w:rPr>
        <w:t>：</w:t>
      </w:r>
      <w:r>
        <w:rPr>
          <w:rFonts w:hint="eastAsia"/>
          <w:color w:val="auto"/>
          <w:lang w:val="en-US" w:eastAsia="zh-CN"/>
        </w:rPr>
        <w:t>项目实际建设过程中注塑废气排气筒高度由15m变为20m，排气筒高度增加，降低对环境不利影响</w:t>
      </w:r>
      <w:r>
        <w:rPr>
          <w:rFonts w:hint="default"/>
          <w:color w:val="auto"/>
          <w:lang w:val="en-US" w:eastAsia="zh-CN"/>
        </w:rPr>
        <w:t>。</w:t>
      </w:r>
    </w:p>
    <w:p>
      <w:pPr>
        <w:pStyle w:val="3"/>
        <w:bidi w:val="0"/>
        <w:rPr>
          <w:rFonts w:hint="default"/>
        </w:rPr>
      </w:pPr>
      <w:bookmarkStart w:id="112" w:name="_Toc22737"/>
      <w:r>
        <w:rPr>
          <w:rFonts w:hint="default"/>
        </w:rPr>
        <w:t>项目变动情况</w:t>
      </w:r>
      <w:bookmarkEnd w:id="106"/>
      <w:bookmarkEnd w:id="107"/>
      <w:bookmarkEnd w:id="108"/>
      <w:bookmarkEnd w:id="109"/>
      <w:bookmarkEnd w:id="111"/>
      <w:bookmarkEnd w:id="112"/>
    </w:p>
    <w:p>
      <w:pPr>
        <w:bidi w:val="0"/>
        <w:rPr>
          <w:rFonts w:hint="eastAsia"/>
          <w:color w:val="auto"/>
          <w:lang w:val="en-US" w:eastAsia="zh-CN"/>
        </w:rPr>
      </w:pPr>
      <w:bookmarkStart w:id="113" w:name="_Toc22075"/>
      <w:bookmarkStart w:id="114" w:name="_Toc29514"/>
      <w:bookmarkStart w:id="115" w:name="_Toc2996"/>
      <w:bookmarkStart w:id="116" w:name="_Toc1547"/>
      <w:r>
        <w:rPr>
          <w:rFonts w:hint="eastAsia"/>
          <w:color w:val="auto"/>
          <w:lang w:val="en-US" w:eastAsia="zh-CN"/>
        </w:rPr>
        <w:t>经现场实地勘察，一期项目实际建设性质、地点等方面均与环评及批复要求一致，与环评及批复不一致的地方有：</w:t>
      </w:r>
    </w:p>
    <w:p>
      <w:pPr>
        <w:bidi w:val="0"/>
        <w:rPr>
          <w:rFonts w:hint="default"/>
          <w:lang w:val="en-US" w:eastAsia="zh-CN"/>
        </w:rPr>
      </w:pPr>
      <w:bookmarkStart w:id="117" w:name="_Toc26963"/>
      <w:r>
        <w:rPr>
          <w:rFonts w:hint="eastAsia"/>
          <w:color w:val="auto"/>
          <w:lang w:val="en-US" w:eastAsia="zh-CN"/>
        </w:rPr>
        <w:t>一期项目实际建设过程中产能33.3亿只/年变为16.7亿只/年，注塑废气排气筒高度由15m变为20m，排气筒高度增加。以上变化降低对环境不利影响，</w:t>
      </w:r>
      <w:r>
        <w:rPr>
          <w:rFonts w:hint="default"/>
          <w:lang w:val="en-US" w:eastAsia="zh-CN"/>
        </w:rPr>
        <w:t>不</w:t>
      </w:r>
      <w:r>
        <w:rPr>
          <w:rFonts w:hint="eastAsia"/>
          <w:lang w:val="en-US" w:eastAsia="zh-CN"/>
        </w:rPr>
        <w:t>增加污染物种类及排放量</w:t>
      </w:r>
      <w:r>
        <w:rPr>
          <w:rFonts w:hint="default"/>
          <w:lang w:val="en-US" w:eastAsia="zh-CN"/>
        </w:rPr>
        <w:t>，不属于重大变动。</w:t>
      </w:r>
    </w:p>
    <w:p>
      <w:pPr>
        <w:bidi w:val="0"/>
      </w:pPr>
      <w:r>
        <w:t>本项目实际建设情况与</w:t>
      </w:r>
      <w:r>
        <w:rPr>
          <w:rFonts w:hint="eastAsia"/>
        </w:rPr>
        <w:t>《污染影响类建设项目重大变动清单（试行）的通知》（环办环评函</w:t>
      </w:r>
      <w:r>
        <w:rPr>
          <w:rFonts w:hint="eastAsia"/>
          <w:lang w:eastAsia="zh-CN"/>
        </w:rPr>
        <w:t>〔</w:t>
      </w:r>
      <w:r>
        <w:rPr>
          <w:rFonts w:hint="eastAsia"/>
        </w:rPr>
        <w:t>2020</w:t>
      </w:r>
      <w:r>
        <w:rPr>
          <w:rFonts w:hint="eastAsia"/>
          <w:lang w:eastAsia="zh-CN"/>
        </w:rPr>
        <w:t>〕</w:t>
      </w:r>
      <w:r>
        <w:rPr>
          <w:rFonts w:hint="eastAsia"/>
        </w:rPr>
        <w:t>688号）（以下简称《通知》）对比分析见下表。</w:t>
      </w:r>
    </w:p>
    <w:p>
      <w:pPr>
        <w:pStyle w:val="20"/>
        <w:bidi w:val="0"/>
        <w:rPr>
          <w:rFonts w:hint="default"/>
        </w:rPr>
      </w:pPr>
      <w:r>
        <w:t xml:space="preserve">   </w:t>
      </w:r>
      <w:r>
        <w:rPr>
          <w:rFonts w:hint="eastAsia"/>
          <w:lang w:val="en-US" w:eastAsia="zh-CN"/>
        </w:rPr>
        <w:t xml:space="preserve">         </w:t>
      </w:r>
      <w:r>
        <w:t xml:space="preserve"> 本项目与《通知》对比分析一览表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4995"/>
        <w:gridCol w:w="1650"/>
        <w:gridCol w:w="12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670" w:type="dxa"/>
            <w:gridSpan w:val="2"/>
            <w:tcBorders>
              <w:tl2br w:val="nil"/>
              <w:tr2bl w:val="nil"/>
            </w:tcBorders>
            <w:vAlign w:val="center"/>
          </w:tcPr>
          <w:p>
            <w:pPr>
              <w:pStyle w:val="19"/>
              <w:rPr>
                <w:rFonts w:hint="default"/>
                <w:b/>
                <w:bCs w:val="0"/>
              </w:rPr>
            </w:pPr>
            <w:r>
              <w:rPr>
                <w:b/>
                <w:bCs w:val="0"/>
              </w:rPr>
              <w:t>《通知》内容</w:t>
            </w:r>
          </w:p>
        </w:tc>
        <w:tc>
          <w:tcPr>
            <w:tcW w:w="1650" w:type="dxa"/>
            <w:tcBorders>
              <w:tl2br w:val="nil"/>
              <w:tr2bl w:val="nil"/>
            </w:tcBorders>
            <w:vAlign w:val="center"/>
          </w:tcPr>
          <w:p>
            <w:pPr>
              <w:pStyle w:val="19"/>
              <w:rPr>
                <w:rFonts w:hint="default"/>
                <w:b/>
                <w:bCs w:val="0"/>
              </w:rPr>
            </w:pPr>
            <w:r>
              <w:rPr>
                <w:b/>
                <w:bCs w:val="0"/>
              </w:rPr>
              <w:t>本项目情况</w:t>
            </w:r>
          </w:p>
        </w:tc>
        <w:tc>
          <w:tcPr>
            <w:tcW w:w="1202" w:type="dxa"/>
            <w:tcBorders>
              <w:tl2br w:val="nil"/>
              <w:tr2bl w:val="nil"/>
            </w:tcBorders>
            <w:vAlign w:val="center"/>
          </w:tcPr>
          <w:p>
            <w:pPr>
              <w:pStyle w:val="19"/>
              <w:rPr>
                <w:rFonts w:hint="default"/>
                <w:b/>
                <w:bCs w:val="0"/>
              </w:rPr>
            </w:pPr>
            <w:r>
              <w:rPr>
                <w:b/>
                <w:bCs w:val="0"/>
              </w:rPr>
              <w:t>对比结果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pStyle w:val="19"/>
              <w:rPr>
                <w:rFonts w:hint="default"/>
              </w:rPr>
            </w:pPr>
            <w:r>
              <w:t>性质</w:t>
            </w:r>
          </w:p>
        </w:tc>
        <w:tc>
          <w:tcPr>
            <w:tcW w:w="4995" w:type="dxa"/>
            <w:tcBorders>
              <w:tl2br w:val="nil"/>
              <w:tr2bl w:val="nil"/>
            </w:tcBorders>
            <w:vAlign w:val="center"/>
          </w:tcPr>
          <w:p>
            <w:pPr>
              <w:pStyle w:val="19"/>
              <w:jc w:val="left"/>
              <w:rPr>
                <w:rFonts w:hint="default"/>
              </w:rPr>
            </w:pPr>
            <w:r>
              <w:t>1、建设项目开发、使用功能发生变化的。</w:t>
            </w:r>
          </w:p>
        </w:tc>
        <w:tc>
          <w:tcPr>
            <w:tcW w:w="1650" w:type="dxa"/>
            <w:tcBorders>
              <w:tl2br w:val="nil"/>
              <w:tr2bl w:val="nil"/>
            </w:tcBorders>
            <w:vAlign w:val="center"/>
          </w:tcPr>
          <w:p>
            <w:pPr>
              <w:pStyle w:val="19"/>
              <w:rPr>
                <w:rFonts w:hint="default"/>
              </w:rPr>
            </w:pPr>
            <w:r>
              <w:t>无变动</w:t>
            </w:r>
          </w:p>
        </w:tc>
        <w:tc>
          <w:tcPr>
            <w:tcW w:w="1202" w:type="dxa"/>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pPr>
              <w:pStyle w:val="19"/>
              <w:rPr>
                <w:rFonts w:hint="default"/>
              </w:rPr>
            </w:pPr>
            <w:r>
              <w:t>规模</w:t>
            </w:r>
          </w:p>
        </w:tc>
        <w:tc>
          <w:tcPr>
            <w:tcW w:w="4995" w:type="dxa"/>
            <w:tcBorders>
              <w:tl2br w:val="nil"/>
              <w:tr2bl w:val="nil"/>
            </w:tcBorders>
            <w:vAlign w:val="center"/>
          </w:tcPr>
          <w:p>
            <w:pPr>
              <w:pStyle w:val="19"/>
              <w:jc w:val="left"/>
              <w:rPr>
                <w:rFonts w:hint="default"/>
              </w:rPr>
            </w:pPr>
            <w:r>
              <w:t>2、生产、处置或储存能力增大30%及以上的。</w:t>
            </w:r>
          </w:p>
        </w:tc>
        <w:tc>
          <w:tcPr>
            <w:tcW w:w="1650" w:type="dxa"/>
            <w:vMerge w:val="restart"/>
            <w:tcBorders>
              <w:tl2br w:val="nil"/>
              <w:tr2bl w:val="nil"/>
            </w:tcBorders>
            <w:vAlign w:val="center"/>
          </w:tcPr>
          <w:p>
            <w:pPr>
              <w:pStyle w:val="19"/>
              <w:rPr>
                <w:rFonts w:hint="default" w:eastAsia="宋体"/>
                <w:lang w:val="en-US" w:eastAsia="zh-CN"/>
              </w:rPr>
            </w:pPr>
            <w:r>
              <w:rPr>
                <w:rFonts w:hint="eastAsia"/>
                <w:lang w:val="en-US" w:eastAsia="zh-CN"/>
              </w:rPr>
              <w:t>本次验收一期</w:t>
            </w:r>
            <w:r>
              <w:rPr>
                <w:rFonts w:hint="eastAsia"/>
                <w:color w:val="auto"/>
                <w:lang w:val="en-US" w:eastAsia="zh-CN"/>
              </w:rPr>
              <w:t>产能由33.3亿只/年变为16.7亿只/年</w:t>
            </w:r>
          </w:p>
        </w:tc>
        <w:tc>
          <w:tcPr>
            <w:tcW w:w="1202" w:type="dxa"/>
            <w:vMerge w:val="restart"/>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3、生产、处置或储存能力增大，导致废水第一类污染物排放量增加的。</w:t>
            </w:r>
          </w:p>
        </w:tc>
        <w:tc>
          <w:tcPr>
            <w:tcW w:w="1650" w:type="dxa"/>
            <w:vMerge w:val="continue"/>
            <w:tcBorders>
              <w:tl2br w:val="nil"/>
              <w:tr2bl w:val="nil"/>
            </w:tcBorders>
            <w:vAlign w:val="center"/>
          </w:tcPr>
          <w:p>
            <w:pPr>
              <w:pStyle w:val="19"/>
              <w:rPr>
                <w:rFonts w:hint="default"/>
              </w:rPr>
            </w:pPr>
          </w:p>
        </w:tc>
        <w:tc>
          <w:tcPr>
            <w:tcW w:w="1202" w:type="dxa"/>
            <w:vMerge w:val="continue"/>
            <w:tcBorders>
              <w:tl2br w:val="nil"/>
              <w:tr2bl w:val="nil"/>
            </w:tcBorders>
            <w:vAlign w:val="center"/>
          </w:tcPr>
          <w:p>
            <w:pPr>
              <w:pStyle w:val="19"/>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650" w:type="dxa"/>
            <w:vMerge w:val="continue"/>
            <w:tcBorders>
              <w:tl2br w:val="nil"/>
              <w:tr2bl w:val="nil"/>
            </w:tcBorders>
            <w:vAlign w:val="center"/>
          </w:tcPr>
          <w:p>
            <w:pPr>
              <w:pStyle w:val="19"/>
              <w:rPr>
                <w:rFonts w:hint="default"/>
              </w:rPr>
            </w:pPr>
          </w:p>
        </w:tc>
        <w:tc>
          <w:tcPr>
            <w:tcW w:w="1202" w:type="dxa"/>
            <w:vMerge w:val="continue"/>
            <w:tcBorders>
              <w:tl2br w:val="nil"/>
              <w:tr2bl w:val="nil"/>
            </w:tcBorders>
            <w:vAlign w:val="center"/>
          </w:tcPr>
          <w:p>
            <w:pPr>
              <w:pStyle w:val="19"/>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pPr>
              <w:pStyle w:val="19"/>
              <w:rPr>
                <w:rFonts w:hint="default"/>
              </w:rPr>
            </w:pPr>
            <w:r>
              <w:t>地点</w:t>
            </w:r>
          </w:p>
        </w:tc>
        <w:tc>
          <w:tcPr>
            <w:tcW w:w="4995" w:type="dxa"/>
            <w:tcBorders>
              <w:tl2br w:val="nil"/>
              <w:tr2bl w:val="nil"/>
            </w:tcBorders>
            <w:vAlign w:val="center"/>
          </w:tcPr>
          <w:p>
            <w:pPr>
              <w:pStyle w:val="19"/>
              <w:jc w:val="left"/>
              <w:rPr>
                <w:rFonts w:hint="default"/>
              </w:rPr>
            </w:pPr>
            <w:r>
              <w:t>5、重新选址；在原厂址附近调整（包括总平面布置变化）导致环境防护距离范围变化且新增敏感点的。</w:t>
            </w:r>
          </w:p>
        </w:tc>
        <w:tc>
          <w:tcPr>
            <w:tcW w:w="1650" w:type="dxa"/>
            <w:tcBorders>
              <w:tl2br w:val="nil"/>
              <w:tr2bl w:val="nil"/>
            </w:tcBorders>
            <w:vAlign w:val="center"/>
          </w:tcPr>
          <w:p>
            <w:pPr>
              <w:pStyle w:val="19"/>
              <w:rPr>
                <w:rFonts w:hint="default"/>
              </w:rPr>
            </w:pPr>
            <w:r>
              <w:t>无变动</w:t>
            </w:r>
          </w:p>
        </w:tc>
        <w:tc>
          <w:tcPr>
            <w:tcW w:w="1202" w:type="dxa"/>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pPr>
              <w:pStyle w:val="19"/>
              <w:rPr>
                <w:rFonts w:hint="default"/>
              </w:rPr>
            </w:pPr>
            <w:r>
              <w:t>生产工艺</w:t>
            </w:r>
          </w:p>
        </w:tc>
        <w:tc>
          <w:tcPr>
            <w:tcW w:w="4995" w:type="dxa"/>
            <w:tcBorders>
              <w:tl2br w:val="nil"/>
              <w:tr2bl w:val="nil"/>
            </w:tcBorders>
            <w:vAlign w:val="center"/>
          </w:tcPr>
          <w:p>
            <w:pPr>
              <w:pStyle w:val="19"/>
              <w:jc w:val="left"/>
              <w:rPr>
                <w:rFonts w:hint="default"/>
              </w:rPr>
            </w:pPr>
            <w:r>
              <w:t>6、新增产品品种或生产工艺（含主要生产装置、设备及配套设施）、主要原辅材料、燃料变化，导致以下情形之一：</w:t>
            </w:r>
          </w:p>
          <w:p>
            <w:pPr>
              <w:pStyle w:val="19"/>
              <w:jc w:val="left"/>
              <w:rPr>
                <w:rFonts w:hint="default"/>
              </w:rPr>
            </w:pPr>
            <w:r>
              <w:t>（1）新增排放污染物种类的（毒性、挥发性降低的除外）；</w:t>
            </w:r>
          </w:p>
          <w:p>
            <w:pPr>
              <w:pStyle w:val="19"/>
              <w:jc w:val="left"/>
              <w:rPr>
                <w:rFonts w:hint="default"/>
              </w:rPr>
            </w:pPr>
            <w:r>
              <w:t>（2）位于环境质量不达标区的建设项目相应污染物排放量增加的；</w:t>
            </w:r>
          </w:p>
          <w:p>
            <w:pPr>
              <w:pStyle w:val="19"/>
              <w:jc w:val="left"/>
              <w:rPr>
                <w:rFonts w:hint="default"/>
              </w:rPr>
            </w:pPr>
            <w:r>
              <w:t>（3）废水第一类污染物排放量增加的；</w:t>
            </w:r>
          </w:p>
          <w:p>
            <w:pPr>
              <w:pStyle w:val="19"/>
              <w:jc w:val="left"/>
              <w:rPr>
                <w:rFonts w:hint="default"/>
              </w:rPr>
            </w:pPr>
            <w:r>
              <w:t>（4）其他污染物排放量增加10%及以上的。</w:t>
            </w:r>
          </w:p>
        </w:tc>
        <w:tc>
          <w:tcPr>
            <w:tcW w:w="1650" w:type="dxa"/>
            <w:vMerge w:val="restart"/>
            <w:tcBorders>
              <w:tl2br w:val="nil"/>
              <w:tr2bl w:val="nil"/>
            </w:tcBorders>
            <w:vAlign w:val="center"/>
          </w:tcPr>
          <w:p>
            <w:pPr>
              <w:pStyle w:val="19"/>
              <w:bidi w:val="0"/>
              <w:rPr>
                <w:rFonts w:hint="default"/>
                <w:lang w:val="en-US" w:eastAsia="zh-CN"/>
              </w:rPr>
            </w:pPr>
            <w:r>
              <w:t>无变动</w:t>
            </w:r>
          </w:p>
        </w:tc>
        <w:tc>
          <w:tcPr>
            <w:tcW w:w="1202" w:type="dxa"/>
            <w:vMerge w:val="restart"/>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7、物料运输、装卸、贮存方式变化，导致大气污染物无组织排放量增加10%及以上的。</w:t>
            </w:r>
          </w:p>
        </w:tc>
        <w:tc>
          <w:tcPr>
            <w:tcW w:w="1650" w:type="dxa"/>
            <w:vMerge w:val="continue"/>
            <w:tcBorders>
              <w:tl2br w:val="nil"/>
              <w:tr2bl w:val="nil"/>
            </w:tcBorders>
            <w:vAlign w:val="center"/>
          </w:tcPr>
          <w:p>
            <w:pPr>
              <w:pStyle w:val="19"/>
              <w:rPr>
                <w:rFonts w:hint="default"/>
              </w:rPr>
            </w:pPr>
          </w:p>
        </w:tc>
        <w:tc>
          <w:tcPr>
            <w:tcW w:w="1202" w:type="dxa"/>
            <w:vMerge w:val="continue"/>
            <w:tcBorders>
              <w:tl2br w:val="nil"/>
              <w:tr2bl w:val="nil"/>
            </w:tcBorders>
            <w:vAlign w:val="center"/>
          </w:tcPr>
          <w:p>
            <w:pPr>
              <w:pStyle w:val="19"/>
              <w:rPr>
                <w:rFonts w:hint="default"/>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pPr>
              <w:pStyle w:val="19"/>
              <w:rPr>
                <w:rFonts w:hint="default"/>
              </w:rPr>
            </w:pPr>
            <w:r>
              <w:t>环境保护措施</w:t>
            </w:r>
          </w:p>
        </w:tc>
        <w:tc>
          <w:tcPr>
            <w:tcW w:w="4995" w:type="dxa"/>
            <w:tcBorders>
              <w:tl2br w:val="nil"/>
              <w:tr2bl w:val="nil"/>
            </w:tcBorders>
            <w:vAlign w:val="center"/>
          </w:tcPr>
          <w:p>
            <w:pPr>
              <w:pStyle w:val="19"/>
              <w:jc w:val="left"/>
              <w:rPr>
                <w:rFonts w:hint="default"/>
              </w:rPr>
            </w:pPr>
            <w:r>
              <w:t>8、废气、废水污染防治措施变化，导致第6条中所列情形之一（废气无组织排放改为有组织排放、污染防治措施强化或改进的除外）或大气污染物无组织排放量增加10%及以上的。</w:t>
            </w:r>
          </w:p>
        </w:tc>
        <w:tc>
          <w:tcPr>
            <w:tcW w:w="1650" w:type="dxa"/>
            <w:tcBorders>
              <w:tl2br w:val="nil"/>
              <w:tr2bl w:val="nil"/>
            </w:tcBorders>
            <w:vAlign w:val="center"/>
          </w:tcPr>
          <w:p>
            <w:pPr>
              <w:pStyle w:val="19"/>
              <w:bidi w:val="0"/>
              <w:rPr>
                <w:rFonts w:hint="default"/>
              </w:rPr>
            </w:pPr>
            <w:r>
              <w:t>无变动</w:t>
            </w:r>
          </w:p>
        </w:tc>
        <w:tc>
          <w:tcPr>
            <w:tcW w:w="1202" w:type="dxa"/>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9、新增废水直接排放口；废水由间接排放改为直接排放；废水直接排放口位置变化，导致不利环境影响加重的。</w:t>
            </w:r>
          </w:p>
        </w:tc>
        <w:tc>
          <w:tcPr>
            <w:tcW w:w="1650" w:type="dxa"/>
            <w:tcBorders>
              <w:tl2br w:val="nil"/>
              <w:tr2bl w:val="nil"/>
            </w:tcBorders>
            <w:vAlign w:val="center"/>
          </w:tcPr>
          <w:p>
            <w:pPr>
              <w:pStyle w:val="19"/>
              <w:rPr>
                <w:rFonts w:hint="default"/>
              </w:rPr>
            </w:pPr>
            <w:r>
              <w:t>无变动</w:t>
            </w:r>
          </w:p>
        </w:tc>
        <w:tc>
          <w:tcPr>
            <w:tcW w:w="1202" w:type="dxa"/>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10、新增废气主要排放口（废气无组织排放改为有组织排放的除外）；主要排放口排气筒高度降低10%及以上的。</w:t>
            </w:r>
          </w:p>
        </w:tc>
        <w:tc>
          <w:tcPr>
            <w:tcW w:w="1650" w:type="dxa"/>
            <w:tcBorders>
              <w:tl2br w:val="nil"/>
              <w:tr2bl w:val="nil"/>
            </w:tcBorders>
            <w:vAlign w:val="center"/>
          </w:tcPr>
          <w:p>
            <w:pPr>
              <w:pStyle w:val="19"/>
              <w:rPr>
                <w:rFonts w:hint="default" w:eastAsia="宋体"/>
                <w:lang w:val="en-US" w:eastAsia="zh-CN"/>
              </w:rPr>
            </w:pPr>
            <w:r>
              <w:rPr>
                <w:rFonts w:hint="eastAsia"/>
                <w:lang w:val="en-US" w:eastAsia="zh-CN"/>
              </w:rPr>
              <w:t>本项目排气筒高度由15m增加至22m</w:t>
            </w:r>
          </w:p>
        </w:tc>
        <w:tc>
          <w:tcPr>
            <w:tcW w:w="1202" w:type="dxa"/>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11、噪声、土壤或地下水污染防治措施变化，导致不利环境影响加重的。</w:t>
            </w:r>
          </w:p>
        </w:tc>
        <w:tc>
          <w:tcPr>
            <w:tcW w:w="1650" w:type="dxa"/>
            <w:tcBorders>
              <w:tl2br w:val="nil"/>
              <w:tr2bl w:val="nil"/>
            </w:tcBorders>
            <w:vAlign w:val="center"/>
          </w:tcPr>
          <w:p>
            <w:pPr>
              <w:pStyle w:val="19"/>
              <w:rPr>
                <w:rFonts w:hint="default"/>
              </w:rPr>
            </w:pPr>
            <w:r>
              <w:t>无变动</w:t>
            </w:r>
          </w:p>
        </w:tc>
        <w:tc>
          <w:tcPr>
            <w:tcW w:w="1202" w:type="dxa"/>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12、固体废物利用处置方式由委托外单位利用处置改为自行利用处置的（自行利用处置设施单独开展环境影响评价的除外）；固体废物自行处置方式变化，导致不利环境影响加重的。</w:t>
            </w:r>
          </w:p>
        </w:tc>
        <w:tc>
          <w:tcPr>
            <w:tcW w:w="1650" w:type="dxa"/>
            <w:tcBorders>
              <w:tl2br w:val="nil"/>
              <w:tr2bl w:val="nil"/>
            </w:tcBorders>
            <w:vAlign w:val="center"/>
          </w:tcPr>
          <w:p>
            <w:pPr>
              <w:pStyle w:val="19"/>
              <w:bidi w:val="0"/>
              <w:rPr>
                <w:rFonts w:hint="eastAsia"/>
                <w:lang w:val="en-US" w:eastAsia="zh-CN"/>
              </w:rPr>
            </w:pPr>
            <w:r>
              <w:t>无变动</w:t>
            </w:r>
          </w:p>
        </w:tc>
        <w:tc>
          <w:tcPr>
            <w:tcW w:w="1202" w:type="dxa"/>
            <w:tcBorders>
              <w:tl2br w:val="nil"/>
              <w:tr2bl w:val="nil"/>
            </w:tcBorders>
            <w:vAlign w:val="center"/>
          </w:tcPr>
          <w:p>
            <w:pPr>
              <w:pStyle w:val="19"/>
              <w:rPr>
                <w:rFonts w:hint="default"/>
              </w:rPr>
            </w:pPr>
            <w:r>
              <w:t>不属于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pPr>
              <w:pStyle w:val="19"/>
              <w:rPr>
                <w:rFonts w:hint="default"/>
              </w:rPr>
            </w:pPr>
          </w:p>
        </w:tc>
        <w:tc>
          <w:tcPr>
            <w:tcW w:w="4995" w:type="dxa"/>
            <w:tcBorders>
              <w:tl2br w:val="nil"/>
              <w:tr2bl w:val="nil"/>
            </w:tcBorders>
            <w:vAlign w:val="center"/>
          </w:tcPr>
          <w:p>
            <w:pPr>
              <w:pStyle w:val="19"/>
              <w:jc w:val="left"/>
              <w:rPr>
                <w:rFonts w:hint="default"/>
              </w:rPr>
            </w:pPr>
            <w:r>
              <w:t>13、事故废水暂存能力或拦截设施变化，导致环境风险防范能力弱化或降低的。</w:t>
            </w:r>
          </w:p>
        </w:tc>
        <w:tc>
          <w:tcPr>
            <w:tcW w:w="1650" w:type="dxa"/>
            <w:tcBorders>
              <w:tl2br w:val="nil"/>
              <w:tr2bl w:val="nil"/>
            </w:tcBorders>
            <w:vAlign w:val="center"/>
          </w:tcPr>
          <w:p>
            <w:pPr>
              <w:pStyle w:val="19"/>
              <w:rPr>
                <w:rFonts w:hint="default"/>
              </w:rPr>
            </w:pPr>
            <w:r>
              <w:t>无变动</w:t>
            </w:r>
          </w:p>
        </w:tc>
        <w:tc>
          <w:tcPr>
            <w:tcW w:w="1202" w:type="dxa"/>
            <w:tcBorders>
              <w:tl2br w:val="nil"/>
              <w:tr2bl w:val="nil"/>
            </w:tcBorders>
            <w:vAlign w:val="center"/>
          </w:tcPr>
          <w:p>
            <w:pPr>
              <w:pStyle w:val="19"/>
              <w:rPr>
                <w:rFonts w:hint="default"/>
              </w:rPr>
            </w:pPr>
            <w:r>
              <w:t>不属于</w:t>
            </w:r>
          </w:p>
        </w:tc>
      </w:tr>
    </w:tbl>
    <w:p>
      <w:pPr>
        <w:ind w:firstLine="560"/>
      </w:pPr>
      <w:r>
        <w:t>由上表可知，本项目</w:t>
      </w:r>
      <w:r>
        <w:rPr>
          <w:rFonts w:hint="eastAsia"/>
          <w:lang w:val="en-US" w:eastAsia="zh-CN"/>
        </w:rPr>
        <w:t>无</w:t>
      </w:r>
      <w:r>
        <w:t>重大变动，</w:t>
      </w:r>
      <w:r>
        <w:rPr>
          <w:rFonts w:hint="eastAsia"/>
        </w:rPr>
        <w:t>能够满足验收要求。</w:t>
      </w:r>
    </w:p>
    <w:p>
      <w:pPr>
        <w:pStyle w:val="2"/>
        <w:bidi w:val="0"/>
        <w:rPr>
          <w:rFonts w:hint="default"/>
        </w:rPr>
      </w:pPr>
      <w:bookmarkStart w:id="118" w:name="_Toc3923"/>
      <w:r>
        <w:rPr>
          <w:rFonts w:hint="default"/>
        </w:rPr>
        <w:t>环境保护设施</w:t>
      </w:r>
      <w:bookmarkEnd w:id="113"/>
      <w:bookmarkEnd w:id="114"/>
      <w:bookmarkEnd w:id="115"/>
      <w:bookmarkEnd w:id="116"/>
      <w:bookmarkEnd w:id="117"/>
      <w:bookmarkEnd w:id="118"/>
    </w:p>
    <w:p>
      <w:pPr>
        <w:pStyle w:val="3"/>
        <w:bidi w:val="0"/>
        <w:rPr>
          <w:rFonts w:hint="default"/>
        </w:rPr>
      </w:pPr>
      <w:bookmarkStart w:id="119" w:name="_Toc5558"/>
      <w:bookmarkStart w:id="120" w:name="_Toc7981"/>
      <w:bookmarkStart w:id="121" w:name="_Toc22602"/>
      <w:bookmarkStart w:id="122" w:name="_Toc22352"/>
      <w:bookmarkStart w:id="123" w:name="_Toc1422"/>
      <w:bookmarkStart w:id="124" w:name="_Toc7165"/>
      <w:r>
        <w:rPr>
          <w:rFonts w:hint="default"/>
        </w:rPr>
        <w:t>污染物治理/处置设施</w:t>
      </w:r>
      <w:bookmarkEnd w:id="119"/>
      <w:bookmarkEnd w:id="120"/>
      <w:bookmarkEnd w:id="121"/>
      <w:bookmarkEnd w:id="122"/>
      <w:bookmarkEnd w:id="123"/>
      <w:bookmarkEnd w:id="124"/>
    </w:p>
    <w:p>
      <w:pPr>
        <w:pStyle w:val="4"/>
        <w:bidi w:val="0"/>
        <w:rPr>
          <w:rFonts w:hint="default"/>
          <w:lang w:val="en-US" w:eastAsia="zh-CN"/>
        </w:rPr>
      </w:pPr>
      <w:bookmarkStart w:id="125" w:name="_Toc28319"/>
      <w:bookmarkStart w:id="126" w:name="_Toc24814"/>
      <w:bookmarkStart w:id="127" w:name="_Toc9027"/>
      <w:bookmarkStart w:id="128" w:name="_Toc11365"/>
      <w:bookmarkStart w:id="129" w:name="_Toc11510"/>
      <w:bookmarkStart w:id="130" w:name="_Toc30395"/>
      <w:r>
        <w:rPr>
          <w:rFonts w:hint="default"/>
          <w:lang w:val="en-US" w:eastAsia="zh-CN"/>
        </w:rPr>
        <w:t>废气</w:t>
      </w:r>
      <w:bookmarkEnd w:id="125"/>
    </w:p>
    <w:p>
      <w:pPr>
        <w:bidi w:val="0"/>
        <w:rPr>
          <w:rFonts w:hint="default"/>
          <w:b/>
          <w:bCs/>
          <w:lang w:val="en-US" w:eastAsia="zh-CN"/>
        </w:rPr>
      </w:pPr>
      <w:r>
        <w:rPr>
          <w:rFonts w:hint="eastAsia"/>
          <w:b/>
          <w:bCs/>
          <w:lang w:val="en-US" w:eastAsia="zh-CN"/>
        </w:rPr>
        <w:t>（1）</w:t>
      </w:r>
      <w:r>
        <w:rPr>
          <w:rFonts w:hint="default"/>
          <w:b/>
          <w:bCs/>
          <w:lang w:val="en-US" w:eastAsia="zh-CN"/>
        </w:rPr>
        <w:t>建设情况</w:t>
      </w:r>
    </w:p>
    <w:p>
      <w:pPr>
        <w:bidi w:val="0"/>
        <w:rPr>
          <w:rFonts w:hint="default"/>
          <w:lang w:val="en-US" w:eastAsia="zh-CN"/>
        </w:rPr>
      </w:pPr>
      <w:r>
        <w:rPr>
          <w:rFonts w:hint="eastAsia"/>
          <w:lang w:val="en-US" w:eastAsia="zh-CN"/>
        </w:rPr>
        <w:t>本项目废气主要是注塑工序产生的非甲烷总烃，负压收集+活性炭吸脱附装置-催化燃烧+20m高排气筒。</w:t>
      </w:r>
    </w:p>
    <w:p>
      <w:pPr>
        <w:bidi w:val="0"/>
        <w:rPr>
          <w:rFonts w:hint="default"/>
          <w:b/>
          <w:bCs/>
          <w:lang w:val="en-US" w:eastAsia="zh-CN"/>
        </w:rPr>
      </w:pPr>
      <w:r>
        <w:rPr>
          <w:rFonts w:hint="eastAsia"/>
          <w:b/>
          <w:bCs/>
          <w:lang w:val="en-US" w:eastAsia="zh-CN"/>
        </w:rPr>
        <w:t>（2）</w:t>
      </w:r>
      <w:r>
        <w:rPr>
          <w:rFonts w:hint="default"/>
          <w:b/>
          <w:bCs/>
          <w:lang w:val="en-US" w:eastAsia="zh-CN"/>
        </w:rPr>
        <w:t>环评批复要求</w:t>
      </w:r>
    </w:p>
    <w:p>
      <w:pPr>
        <w:bidi w:val="0"/>
        <w:rPr>
          <w:rFonts w:hint="eastAsia"/>
          <w:lang w:val="en-US" w:eastAsia="zh-CN"/>
        </w:rPr>
      </w:pPr>
      <w:r>
        <w:rPr>
          <w:rFonts w:hint="eastAsia"/>
          <w:lang w:val="en-US" w:eastAsia="zh-CN"/>
        </w:rPr>
        <w:t>注塑工序产生的非甲烷总烃经密闭车间内负压收集+活性炭吸脱附装置-催化燃烧+15m高排气筒。</w:t>
      </w:r>
    </w:p>
    <w:p>
      <w:pPr>
        <w:bidi w:val="0"/>
        <w:rPr>
          <w:rFonts w:hint="default"/>
          <w:b/>
          <w:bCs/>
          <w:lang w:val="en-US" w:eastAsia="zh-CN"/>
        </w:rPr>
      </w:pPr>
      <w:r>
        <w:rPr>
          <w:rFonts w:hint="eastAsia"/>
          <w:b/>
          <w:bCs/>
          <w:lang w:val="en-US" w:eastAsia="zh-CN"/>
        </w:rPr>
        <w:t>（3）</w:t>
      </w:r>
      <w:r>
        <w:rPr>
          <w:rFonts w:hint="default"/>
          <w:b/>
          <w:bCs/>
          <w:lang w:val="en-US" w:eastAsia="zh-CN"/>
        </w:rPr>
        <w:t>对比分析</w:t>
      </w:r>
    </w:p>
    <w:p>
      <w:pPr>
        <w:bidi w:val="0"/>
        <w:rPr>
          <w:rFonts w:hint="default"/>
          <w:color w:val="auto"/>
          <w:lang w:val="en-US" w:eastAsia="zh-CN"/>
        </w:rPr>
      </w:pPr>
      <w:r>
        <w:rPr>
          <w:rFonts w:hint="eastAsia"/>
          <w:color w:val="auto"/>
          <w:lang w:val="en-US" w:eastAsia="zh-CN"/>
        </w:rPr>
        <w:t>项目建设过程中注塑废气排气筒高度由15m变为20m，排气筒高度增加，降低对环境不利影响</w:t>
      </w:r>
      <w:r>
        <w:rPr>
          <w:rFonts w:hint="default"/>
          <w:color w:val="auto"/>
          <w:lang w:val="en-US" w:eastAsia="zh-CN"/>
        </w:rPr>
        <w:t>。</w:t>
      </w:r>
    </w:p>
    <w:p>
      <w:pPr>
        <w:pStyle w:val="4"/>
        <w:bidi w:val="0"/>
        <w:rPr>
          <w:rFonts w:hint="default"/>
          <w:lang w:val="en-US" w:eastAsia="zh-CN"/>
        </w:rPr>
      </w:pPr>
      <w:bookmarkStart w:id="131" w:name="_Toc12622"/>
      <w:r>
        <w:rPr>
          <w:rFonts w:hint="default"/>
        </w:rPr>
        <w:t>废水</w:t>
      </w:r>
      <w:bookmarkEnd w:id="126"/>
      <w:bookmarkEnd w:id="127"/>
      <w:bookmarkEnd w:id="128"/>
      <w:bookmarkEnd w:id="129"/>
      <w:bookmarkEnd w:id="130"/>
      <w:bookmarkEnd w:id="131"/>
    </w:p>
    <w:p>
      <w:pPr>
        <w:bidi w:val="0"/>
        <w:rPr>
          <w:rFonts w:hint="default"/>
          <w:b/>
          <w:bCs/>
          <w:lang w:val="en-US" w:eastAsia="zh-CN"/>
        </w:rPr>
      </w:pPr>
      <w:bookmarkStart w:id="132" w:name="_Toc32567"/>
      <w:bookmarkStart w:id="133" w:name="_Toc29894"/>
      <w:bookmarkStart w:id="134" w:name="_Toc1743"/>
      <w:bookmarkStart w:id="135" w:name="_Toc24642"/>
      <w:r>
        <w:rPr>
          <w:rFonts w:hint="eastAsia"/>
          <w:b/>
          <w:bCs/>
          <w:lang w:val="en-US" w:eastAsia="zh-CN"/>
        </w:rPr>
        <w:t>（1）</w:t>
      </w:r>
      <w:r>
        <w:rPr>
          <w:rFonts w:hint="default"/>
          <w:b/>
          <w:bCs/>
          <w:lang w:val="en-US" w:eastAsia="zh-CN"/>
        </w:rPr>
        <w:t>建设情况</w:t>
      </w:r>
    </w:p>
    <w:p>
      <w:pPr>
        <w:bidi w:val="0"/>
        <w:rPr>
          <w:rFonts w:hint="eastAsia"/>
          <w:lang w:val="en-US" w:eastAsia="zh-CN"/>
        </w:rPr>
      </w:pPr>
      <w:r>
        <w:rPr>
          <w:rFonts w:hint="eastAsia"/>
          <w:lang w:val="en-US" w:eastAsia="zh-CN"/>
        </w:rPr>
        <w:t>本项目废水主要为生活污水，经化粪池处理后定期清运。</w:t>
      </w:r>
    </w:p>
    <w:p>
      <w:pPr>
        <w:bidi w:val="0"/>
        <w:rPr>
          <w:rFonts w:hint="default"/>
          <w:b/>
          <w:bCs/>
          <w:lang w:val="en-US" w:eastAsia="zh-CN"/>
        </w:rPr>
      </w:pPr>
      <w:r>
        <w:rPr>
          <w:rFonts w:hint="eastAsia"/>
          <w:b/>
          <w:bCs/>
          <w:lang w:val="en-US" w:eastAsia="zh-CN"/>
        </w:rPr>
        <w:t>（2）</w:t>
      </w:r>
      <w:r>
        <w:rPr>
          <w:rFonts w:hint="default"/>
          <w:b/>
          <w:bCs/>
          <w:lang w:val="en-US" w:eastAsia="zh-CN"/>
        </w:rPr>
        <w:t>环评批复要求</w:t>
      </w:r>
    </w:p>
    <w:p>
      <w:pPr>
        <w:bidi w:val="0"/>
        <w:rPr>
          <w:rFonts w:hint="default"/>
          <w:lang w:val="en-US" w:eastAsia="zh-CN"/>
        </w:rPr>
      </w:pPr>
      <w:r>
        <w:rPr>
          <w:rFonts w:hint="default"/>
          <w:lang w:val="en-US" w:eastAsia="zh-CN"/>
        </w:rPr>
        <w:t>生活污水经化粪池处理后定期清运。</w:t>
      </w:r>
    </w:p>
    <w:p>
      <w:pPr>
        <w:bidi w:val="0"/>
        <w:rPr>
          <w:rFonts w:hint="default"/>
          <w:b/>
          <w:bCs/>
          <w:lang w:val="en-US" w:eastAsia="zh-CN"/>
        </w:rPr>
      </w:pPr>
      <w:r>
        <w:rPr>
          <w:rFonts w:hint="eastAsia"/>
          <w:b/>
          <w:bCs/>
          <w:lang w:val="en-US" w:eastAsia="zh-CN"/>
        </w:rPr>
        <w:t>（3）</w:t>
      </w:r>
      <w:r>
        <w:rPr>
          <w:rFonts w:hint="default"/>
          <w:b/>
          <w:bCs/>
          <w:lang w:val="en-US" w:eastAsia="zh-CN"/>
        </w:rPr>
        <w:t>对比分析</w:t>
      </w:r>
    </w:p>
    <w:p>
      <w:pPr>
        <w:bidi w:val="0"/>
        <w:rPr>
          <w:rFonts w:hint="default"/>
          <w:lang w:val="en-US" w:eastAsia="zh-CN"/>
        </w:rPr>
      </w:pPr>
      <w:r>
        <w:rPr>
          <w:rFonts w:hint="eastAsia"/>
          <w:lang w:val="en-US" w:eastAsia="zh-CN"/>
        </w:rPr>
        <w:t>本</w:t>
      </w:r>
      <w:r>
        <w:rPr>
          <w:rFonts w:hint="default"/>
          <w:lang w:val="en-US" w:eastAsia="zh-CN"/>
        </w:rPr>
        <w:t>项目治理措施实际建设情况与环评及批复要求一致，能满足其要求。</w:t>
      </w:r>
    </w:p>
    <w:bookmarkEnd w:id="102"/>
    <w:bookmarkEnd w:id="103"/>
    <w:bookmarkEnd w:id="132"/>
    <w:bookmarkEnd w:id="133"/>
    <w:bookmarkEnd w:id="134"/>
    <w:bookmarkEnd w:id="135"/>
    <w:p>
      <w:pPr>
        <w:pStyle w:val="4"/>
        <w:bidi w:val="0"/>
        <w:rPr>
          <w:rFonts w:hint="default"/>
        </w:rPr>
      </w:pPr>
      <w:bookmarkStart w:id="136" w:name="_Toc7761"/>
      <w:bookmarkStart w:id="137" w:name="_Toc21392"/>
      <w:bookmarkStart w:id="138" w:name="_Toc4852"/>
      <w:bookmarkStart w:id="139" w:name="_Toc20630"/>
      <w:bookmarkStart w:id="140" w:name="_Toc2083"/>
      <w:bookmarkStart w:id="141" w:name="_Toc3121"/>
      <w:r>
        <w:rPr>
          <w:rFonts w:hint="default"/>
        </w:rPr>
        <mc:AlternateContent>
          <mc:Choice Requires="wps">
            <w:drawing>
              <wp:anchor distT="0" distB="0" distL="114300" distR="114300" simplePos="0" relativeHeight="251660288"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251660288;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142" w:name="_Toc497001463"/>
      <w:bookmarkStart w:id="143" w:name="_Toc496979026"/>
      <w:r>
        <w:rPr>
          <w:rFonts w:hint="default"/>
        </w:rPr>
        <mc:AlternateContent>
          <mc:Choice Requires="wps">
            <w:drawing>
              <wp:anchor distT="0" distB="0" distL="114300" distR="114300" simplePos="0" relativeHeight="25165926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251659264;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rPr>
        <w:t>噪声</w:t>
      </w:r>
      <w:bookmarkEnd w:id="136"/>
      <w:bookmarkEnd w:id="137"/>
      <w:bookmarkEnd w:id="138"/>
      <w:bookmarkEnd w:id="139"/>
      <w:bookmarkEnd w:id="140"/>
      <w:bookmarkEnd w:id="141"/>
      <w:bookmarkEnd w:id="142"/>
      <w:bookmarkEnd w:id="143"/>
    </w:p>
    <w:p>
      <w:pPr>
        <w:bidi w:val="0"/>
      </w:pPr>
      <w:bookmarkStart w:id="144" w:name="_Toc2272"/>
      <w:bookmarkStart w:id="145" w:name="_Toc29076"/>
      <w:bookmarkStart w:id="146" w:name="_Toc30914"/>
      <w:bookmarkStart w:id="147" w:name="_Toc15406"/>
      <w:bookmarkStart w:id="148" w:name="_Toc497001464"/>
      <w:bookmarkStart w:id="149" w:name="_Toc11294"/>
      <w:bookmarkStart w:id="150" w:name="_Toc496979027"/>
      <w:r>
        <w:rPr>
          <w:rFonts w:hint="eastAsia"/>
          <w:lang w:val="en-US" w:eastAsia="zh-CN"/>
        </w:rPr>
        <w:t>本项目</w:t>
      </w:r>
      <w:r>
        <w:t>运营期噪声主要为</w:t>
      </w:r>
      <w:r>
        <w:rPr>
          <w:rFonts w:hint="eastAsia"/>
        </w:rPr>
        <w:t>混料、注塑、破碎</w:t>
      </w:r>
      <w:r>
        <w:rPr>
          <w:rFonts w:hint="eastAsia"/>
          <w:lang w:val="en-US" w:eastAsia="zh-CN"/>
        </w:rPr>
        <w:t>工序</w:t>
      </w:r>
      <w:r>
        <w:rPr>
          <w:rFonts w:hint="eastAsia"/>
        </w:rPr>
        <w:t>等设备运行时产生的机械噪声，噪声治理措施情况见下表。</w:t>
      </w:r>
    </w:p>
    <w:p>
      <w:pPr>
        <w:pStyle w:val="20"/>
        <w:bidi w:val="0"/>
      </w:pPr>
      <w:r>
        <w:rPr>
          <w:rFonts w:hint="eastAsia"/>
        </w:rPr>
        <w:t xml:space="preserve"> </w:t>
      </w:r>
      <w:r>
        <w:rPr>
          <w:rFonts w:hint="eastAsia"/>
          <w:lang w:val="en-US" w:eastAsia="zh-CN"/>
        </w:rPr>
        <w:t xml:space="preserve">           </w:t>
      </w:r>
      <w:r>
        <w:rPr>
          <w:rFonts w:hint="eastAsia"/>
        </w:rPr>
        <w:t xml:space="preserve">  项目噪声治理措施情况一览表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1078"/>
        <w:gridCol w:w="1132"/>
        <w:gridCol w:w="2268"/>
        <w:gridCol w:w="2268"/>
        <w:gridCol w:w="9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restart"/>
            <w:tcBorders>
              <w:tl2br w:val="nil"/>
              <w:tr2bl w:val="nil"/>
            </w:tcBorders>
            <w:vAlign w:val="center"/>
          </w:tcPr>
          <w:p>
            <w:pPr>
              <w:pStyle w:val="19"/>
              <w:bidi w:val="0"/>
              <w:rPr>
                <w:b/>
                <w:bCs w:val="0"/>
              </w:rPr>
            </w:pPr>
            <w:r>
              <w:rPr>
                <w:rFonts w:hint="eastAsia"/>
                <w:b/>
                <w:bCs w:val="0"/>
              </w:rPr>
              <w:t>污染因素</w:t>
            </w:r>
          </w:p>
        </w:tc>
        <w:tc>
          <w:tcPr>
            <w:tcW w:w="1078" w:type="dxa"/>
            <w:vMerge w:val="restart"/>
            <w:tcBorders>
              <w:tl2br w:val="nil"/>
              <w:tr2bl w:val="nil"/>
            </w:tcBorders>
            <w:vAlign w:val="center"/>
          </w:tcPr>
          <w:p>
            <w:pPr>
              <w:pStyle w:val="19"/>
              <w:bidi w:val="0"/>
              <w:rPr>
                <w:b/>
                <w:bCs w:val="0"/>
              </w:rPr>
            </w:pPr>
            <w:r>
              <w:rPr>
                <w:rFonts w:hint="eastAsia"/>
                <w:b/>
                <w:bCs w:val="0"/>
              </w:rPr>
              <w:t>产物</w:t>
            </w:r>
            <w:r>
              <w:rPr>
                <w:b/>
                <w:bCs w:val="0"/>
              </w:rPr>
              <w:t>环节</w:t>
            </w:r>
          </w:p>
        </w:tc>
        <w:tc>
          <w:tcPr>
            <w:tcW w:w="1132" w:type="dxa"/>
            <w:vMerge w:val="restart"/>
            <w:tcBorders>
              <w:tl2br w:val="nil"/>
              <w:tr2bl w:val="nil"/>
            </w:tcBorders>
            <w:vAlign w:val="center"/>
          </w:tcPr>
          <w:p>
            <w:pPr>
              <w:pStyle w:val="19"/>
              <w:bidi w:val="0"/>
              <w:rPr>
                <w:b/>
                <w:bCs w:val="0"/>
              </w:rPr>
            </w:pPr>
            <w:r>
              <w:rPr>
                <w:rFonts w:hint="eastAsia"/>
                <w:b/>
                <w:bCs w:val="0"/>
              </w:rPr>
              <w:t>污染因子</w:t>
            </w:r>
          </w:p>
        </w:tc>
        <w:tc>
          <w:tcPr>
            <w:tcW w:w="4536" w:type="dxa"/>
            <w:gridSpan w:val="2"/>
            <w:tcBorders>
              <w:tl2br w:val="nil"/>
              <w:tr2bl w:val="nil"/>
            </w:tcBorders>
            <w:vAlign w:val="center"/>
          </w:tcPr>
          <w:p>
            <w:pPr>
              <w:pStyle w:val="19"/>
              <w:bidi w:val="0"/>
              <w:rPr>
                <w:b/>
                <w:bCs w:val="0"/>
              </w:rPr>
            </w:pPr>
            <w:r>
              <w:rPr>
                <w:b/>
                <w:bCs w:val="0"/>
              </w:rPr>
              <w:t>治理措施</w:t>
            </w:r>
          </w:p>
        </w:tc>
        <w:tc>
          <w:tcPr>
            <w:tcW w:w="901" w:type="dxa"/>
            <w:vMerge w:val="restart"/>
            <w:tcBorders>
              <w:tl2br w:val="nil"/>
              <w:tr2bl w:val="nil"/>
            </w:tcBorders>
            <w:vAlign w:val="center"/>
          </w:tcPr>
          <w:p>
            <w:pPr>
              <w:pStyle w:val="19"/>
              <w:bidi w:val="0"/>
              <w:rPr>
                <w:b/>
                <w:bCs w:val="0"/>
              </w:rPr>
            </w:pPr>
            <w:r>
              <w:rPr>
                <w:rFonts w:hint="eastAsia"/>
                <w:b/>
                <w:bCs w:val="0"/>
              </w:rPr>
              <w:t>一致性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tcBorders>
              <w:tl2br w:val="nil"/>
              <w:tr2bl w:val="nil"/>
            </w:tcBorders>
            <w:vAlign w:val="center"/>
          </w:tcPr>
          <w:p>
            <w:pPr>
              <w:pStyle w:val="19"/>
              <w:bidi w:val="0"/>
            </w:pPr>
          </w:p>
        </w:tc>
        <w:tc>
          <w:tcPr>
            <w:tcW w:w="1078" w:type="dxa"/>
            <w:vMerge w:val="continue"/>
            <w:tcBorders>
              <w:tl2br w:val="nil"/>
              <w:tr2bl w:val="nil"/>
            </w:tcBorders>
            <w:vAlign w:val="center"/>
          </w:tcPr>
          <w:p>
            <w:pPr>
              <w:pStyle w:val="19"/>
              <w:bidi w:val="0"/>
            </w:pPr>
          </w:p>
        </w:tc>
        <w:tc>
          <w:tcPr>
            <w:tcW w:w="1132" w:type="dxa"/>
            <w:vMerge w:val="continue"/>
            <w:tcBorders>
              <w:tl2br w:val="nil"/>
              <w:tr2bl w:val="nil"/>
            </w:tcBorders>
            <w:vAlign w:val="center"/>
          </w:tcPr>
          <w:p>
            <w:pPr>
              <w:pStyle w:val="19"/>
              <w:bidi w:val="0"/>
            </w:pPr>
          </w:p>
        </w:tc>
        <w:tc>
          <w:tcPr>
            <w:tcW w:w="2268" w:type="dxa"/>
            <w:tcBorders>
              <w:tl2br w:val="nil"/>
              <w:tr2bl w:val="nil"/>
            </w:tcBorders>
            <w:vAlign w:val="center"/>
          </w:tcPr>
          <w:p>
            <w:pPr>
              <w:pStyle w:val="19"/>
              <w:bidi w:val="0"/>
              <w:rPr>
                <w:b/>
                <w:bCs w:val="0"/>
              </w:rPr>
            </w:pPr>
            <w:r>
              <w:rPr>
                <w:b/>
                <w:bCs w:val="0"/>
              </w:rPr>
              <w:t>环评</w:t>
            </w:r>
          </w:p>
        </w:tc>
        <w:tc>
          <w:tcPr>
            <w:tcW w:w="2268" w:type="dxa"/>
            <w:tcBorders>
              <w:tl2br w:val="nil"/>
              <w:tr2bl w:val="nil"/>
            </w:tcBorders>
            <w:vAlign w:val="center"/>
          </w:tcPr>
          <w:p>
            <w:pPr>
              <w:pStyle w:val="19"/>
              <w:bidi w:val="0"/>
              <w:rPr>
                <w:b/>
                <w:bCs w:val="0"/>
              </w:rPr>
            </w:pPr>
            <w:r>
              <w:rPr>
                <w:b/>
                <w:bCs w:val="0"/>
              </w:rPr>
              <w:t>实际</w:t>
            </w:r>
          </w:p>
        </w:tc>
        <w:tc>
          <w:tcPr>
            <w:tcW w:w="901" w:type="dxa"/>
            <w:vMerge w:val="continue"/>
            <w:tcBorders>
              <w:tl2br w:val="nil"/>
              <w:tr2bl w:val="nil"/>
            </w:tcBorders>
            <w:vAlign w:val="center"/>
          </w:tcPr>
          <w:p>
            <w:pPr>
              <w:pStyle w:val="19"/>
              <w:bidi w:val="0"/>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tcBorders>
              <w:tl2br w:val="nil"/>
              <w:tr2bl w:val="nil"/>
            </w:tcBorders>
            <w:vAlign w:val="center"/>
          </w:tcPr>
          <w:p>
            <w:pPr>
              <w:pStyle w:val="19"/>
              <w:bidi w:val="0"/>
            </w:pPr>
            <w:r>
              <w:rPr>
                <w:rFonts w:hint="eastAsia"/>
              </w:rPr>
              <w:t>噪声</w:t>
            </w:r>
          </w:p>
        </w:tc>
        <w:tc>
          <w:tcPr>
            <w:tcW w:w="1078" w:type="dxa"/>
            <w:tcBorders>
              <w:tl2br w:val="nil"/>
              <w:tr2bl w:val="nil"/>
            </w:tcBorders>
            <w:vAlign w:val="center"/>
          </w:tcPr>
          <w:p>
            <w:pPr>
              <w:pStyle w:val="19"/>
              <w:bidi w:val="0"/>
            </w:pPr>
            <w:r>
              <w:t>设备运行</w:t>
            </w:r>
          </w:p>
        </w:tc>
        <w:tc>
          <w:tcPr>
            <w:tcW w:w="1132" w:type="dxa"/>
            <w:tcBorders>
              <w:tl2br w:val="nil"/>
              <w:tr2bl w:val="nil"/>
            </w:tcBorders>
            <w:vAlign w:val="center"/>
          </w:tcPr>
          <w:p>
            <w:pPr>
              <w:pStyle w:val="19"/>
              <w:bidi w:val="0"/>
            </w:pPr>
            <w:r>
              <w:t>噪声</w:t>
            </w:r>
          </w:p>
        </w:tc>
        <w:tc>
          <w:tcPr>
            <w:tcW w:w="2268" w:type="dxa"/>
            <w:tcBorders>
              <w:tl2br w:val="nil"/>
              <w:tr2bl w:val="nil"/>
            </w:tcBorders>
            <w:vAlign w:val="center"/>
          </w:tcPr>
          <w:p>
            <w:pPr>
              <w:pStyle w:val="19"/>
              <w:bidi w:val="0"/>
            </w:pPr>
            <w:r>
              <w:rPr>
                <w:rFonts w:hint="eastAsia"/>
              </w:rPr>
              <w:t>基础减振、厂房隔音</w:t>
            </w:r>
          </w:p>
        </w:tc>
        <w:tc>
          <w:tcPr>
            <w:tcW w:w="2268" w:type="dxa"/>
            <w:tcBorders>
              <w:tl2br w:val="nil"/>
              <w:tr2bl w:val="nil"/>
            </w:tcBorders>
            <w:vAlign w:val="center"/>
          </w:tcPr>
          <w:p>
            <w:pPr>
              <w:pStyle w:val="19"/>
              <w:bidi w:val="0"/>
            </w:pPr>
            <w:r>
              <w:rPr>
                <w:rFonts w:hint="eastAsia"/>
              </w:rPr>
              <w:t>基础减振、厂房隔音</w:t>
            </w:r>
          </w:p>
        </w:tc>
        <w:tc>
          <w:tcPr>
            <w:tcW w:w="901" w:type="dxa"/>
            <w:tcBorders>
              <w:tl2br w:val="nil"/>
              <w:tr2bl w:val="nil"/>
            </w:tcBorders>
            <w:vAlign w:val="center"/>
          </w:tcPr>
          <w:p>
            <w:pPr>
              <w:pStyle w:val="19"/>
              <w:bidi w:val="0"/>
            </w:pPr>
            <w:r>
              <w:t>一致</w:t>
            </w:r>
          </w:p>
        </w:tc>
      </w:tr>
    </w:tbl>
    <w:p>
      <w:pPr>
        <w:bidi w:val="0"/>
      </w:pPr>
      <w:r>
        <w:rPr>
          <w:rFonts w:hint="eastAsia"/>
          <w:lang w:val="en-US" w:eastAsia="zh-CN"/>
        </w:rPr>
        <w:t>本项目</w:t>
      </w:r>
      <w:r>
        <w:rPr>
          <w:rFonts w:hint="eastAsia"/>
        </w:rPr>
        <w:t>噪声治理措施实际建设情况与环评及批复内容一致，</w:t>
      </w:r>
      <w:r>
        <w:rPr>
          <w:rFonts w:hint="eastAsia"/>
          <w:lang w:val="en-US" w:eastAsia="zh-CN"/>
        </w:rPr>
        <w:t>没有发生变动</w:t>
      </w:r>
      <w:r>
        <w:rPr>
          <w:rFonts w:hint="eastAsia"/>
        </w:rPr>
        <w:t>。</w:t>
      </w:r>
    </w:p>
    <w:p>
      <w:pPr>
        <w:pStyle w:val="4"/>
        <w:bidi w:val="0"/>
        <w:rPr>
          <w:rFonts w:hint="default"/>
        </w:rPr>
      </w:pPr>
      <w:bookmarkStart w:id="151" w:name="_Toc23203"/>
      <w:r>
        <w:rPr>
          <w:rFonts w:hint="default"/>
        </w:rPr>
        <w:t>固体废物</w:t>
      </w:r>
      <w:bookmarkEnd w:id="144"/>
      <w:bookmarkEnd w:id="145"/>
      <w:bookmarkEnd w:id="146"/>
      <w:bookmarkEnd w:id="147"/>
      <w:bookmarkEnd w:id="148"/>
      <w:bookmarkEnd w:id="149"/>
      <w:bookmarkEnd w:id="150"/>
      <w:bookmarkEnd w:id="151"/>
    </w:p>
    <w:p>
      <w:pPr>
        <w:bidi w:val="0"/>
      </w:pPr>
      <w:bookmarkStart w:id="152" w:name="_Hlk496988018"/>
      <w:r>
        <w:rPr>
          <w:rFonts w:hint="eastAsia"/>
          <w:lang w:val="en-US" w:eastAsia="zh-CN"/>
        </w:rPr>
        <w:t>该</w:t>
      </w:r>
      <w:r>
        <w:rPr>
          <w:rFonts w:hint="eastAsia"/>
        </w:rPr>
        <w:t>项目产生的固废种类及处置措施情况见下表。</w:t>
      </w:r>
    </w:p>
    <w:p>
      <w:pPr>
        <w:pStyle w:val="20"/>
        <w:bidi w:val="0"/>
      </w:pPr>
      <w:r>
        <w:t xml:space="preserve">        </w:t>
      </w:r>
      <w:r>
        <w:rPr>
          <w:rFonts w:hint="eastAsia"/>
          <w:lang w:val="en-US" w:eastAsia="zh-CN"/>
        </w:rPr>
        <w:t xml:space="preserve">    </w:t>
      </w:r>
      <w:r>
        <w:t xml:space="preserve">     </w:t>
      </w:r>
      <w:r>
        <w:rPr>
          <w:rFonts w:hint="eastAsia"/>
        </w:rPr>
        <w:t>固体废物产生量及处置措施</w:t>
      </w:r>
    </w:p>
    <w:tbl>
      <w:tblPr>
        <w:tblStyle w:val="16"/>
        <w:tblW w:w="48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8"/>
        <w:gridCol w:w="810"/>
        <w:gridCol w:w="1850"/>
        <w:gridCol w:w="1650"/>
        <w:gridCol w:w="1687"/>
        <w:gridCol w:w="1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498" w:type="dxa"/>
            <w:gridSpan w:val="2"/>
            <w:vMerge w:val="restart"/>
            <w:tcBorders>
              <w:tl2br w:val="nil"/>
              <w:tr2bl w:val="nil"/>
            </w:tcBorders>
            <w:vAlign w:val="center"/>
          </w:tcPr>
          <w:p>
            <w:pPr>
              <w:pStyle w:val="19"/>
              <w:bidi w:val="0"/>
              <w:rPr>
                <w:b/>
                <w:bCs w:val="0"/>
              </w:rPr>
            </w:pPr>
            <w:r>
              <w:rPr>
                <w:rFonts w:hint="eastAsia"/>
                <w:b/>
                <w:bCs w:val="0"/>
              </w:rPr>
              <w:t>污染工序</w:t>
            </w:r>
          </w:p>
        </w:tc>
        <w:tc>
          <w:tcPr>
            <w:tcW w:w="1850" w:type="dxa"/>
            <w:vMerge w:val="restart"/>
            <w:tcBorders>
              <w:tl2br w:val="nil"/>
              <w:tr2bl w:val="nil"/>
            </w:tcBorders>
            <w:vAlign w:val="center"/>
          </w:tcPr>
          <w:p>
            <w:pPr>
              <w:pStyle w:val="19"/>
              <w:bidi w:val="0"/>
              <w:rPr>
                <w:b/>
                <w:bCs w:val="0"/>
              </w:rPr>
            </w:pPr>
            <w:r>
              <w:rPr>
                <w:rFonts w:hint="eastAsia"/>
                <w:b/>
                <w:bCs w:val="0"/>
              </w:rPr>
              <w:t>污染物</w:t>
            </w:r>
          </w:p>
        </w:tc>
        <w:tc>
          <w:tcPr>
            <w:tcW w:w="3337" w:type="dxa"/>
            <w:gridSpan w:val="2"/>
            <w:tcBorders>
              <w:tl2br w:val="nil"/>
              <w:tr2bl w:val="nil"/>
            </w:tcBorders>
            <w:vAlign w:val="center"/>
          </w:tcPr>
          <w:p>
            <w:pPr>
              <w:pStyle w:val="19"/>
              <w:bidi w:val="0"/>
              <w:rPr>
                <w:rFonts w:hint="eastAsia"/>
                <w:b/>
                <w:bCs w:val="0"/>
              </w:rPr>
            </w:pPr>
            <w:r>
              <w:rPr>
                <w:rFonts w:hint="eastAsia"/>
                <w:b/>
                <w:bCs w:val="0"/>
              </w:rPr>
              <w:t>处理措施</w:t>
            </w:r>
          </w:p>
        </w:tc>
        <w:tc>
          <w:tcPr>
            <w:tcW w:w="1660" w:type="dxa"/>
            <w:vMerge w:val="restart"/>
            <w:tcBorders>
              <w:tl2br w:val="nil"/>
              <w:tr2bl w:val="nil"/>
            </w:tcBorders>
            <w:vAlign w:val="center"/>
          </w:tcPr>
          <w:p>
            <w:pPr>
              <w:pStyle w:val="19"/>
              <w:bidi w:val="0"/>
              <w:rPr>
                <w:rFonts w:hint="eastAsia" w:eastAsia="宋体"/>
                <w:b/>
                <w:bCs w:val="0"/>
                <w:lang w:val="en-US" w:eastAsia="zh-CN"/>
              </w:rPr>
            </w:pPr>
            <w:r>
              <w:rPr>
                <w:rFonts w:hint="eastAsia"/>
                <w:b/>
                <w:bCs w:val="0"/>
                <w:lang w:val="en-US" w:eastAsia="zh-CN"/>
              </w:rPr>
              <w:t>对比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98" w:type="dxa"/>
            <w:gridSpan w:val="2"/>
            <w:vMerge w:val="continue"/>
            <w:tcBorders>
              <w:tl2br w:val="nil"/>
              <w:tr2bl w:val="nil"/>
            </w:tcBorders>
            <w:vAlign w:val="center"/>
          </w:tcPr>
          <w:p>
            <w:pPr>
              <w:pStyle w:val="19"/>
              <w:bidi w:val="0"/>
            </w:pPr>
          </w:p>
        </w:tc>
        <w:tc>
          <w:tcPr>
            <w:tcW w:w="1850" w:type="dxa"/>
            <w:vMerge w:val="continue"/>
            <w:tcBorders>
              <w:tl2br w:val="nil"/>
              <w:tr2bl w:val="nil"/>
            </w:tcBorders>
            <w:vAlign w:val="center"/>
          </w:tcPr>
          <w:p>
            <w:pPr>
              <w:pStyle w:val="19"/>
              <w:bidi w:val="0"/>
            </w:pPr>
          </w:p>
        </w:tc>
        <w:tc>
          <w:tcPr>
            <w:tcW w:w="1650" w:type="dxa"/>
            <w:tcBorders>
              <w:tl2br w:val="nil"/>
              <w:tr2bl w:val="nil"/>
            </w:tcBorders>
            <w:vAlign w:val="center"/>
          </w:tcPr>
          <w:p>
            <w:pPr>
              <w:pStyle w:val="19"/>
              <w:bidi w:val="0"/>
              <w:rPr>
                <w:rFonts w:hint="eastAsia" w:eastAsia="宋体"/>
                <w:b/>
                <w:bCs w:val="0"/>
                <w:lang w:val="en-US" w:eastAsia="zh-CN"/>
              </w:rPr>
            </w:pPr>
            <w:r>
              <w:rPr>
                <w:rFonts w:hint="eastAsia"/>
                <w:b/>
                <w:bCs w:val="0"/>
                <w:lang w:val="en-US" w:eastAsia="zh-CN"/>
              </w:rPr>
              <w:t>环评</w:t>
            </w:r>
          </w:p>
        </w:tc>
        <w:tc>
          <w:tcPr>
            <w:tcW w:w="1687" w:type="dxa"/>
            <w:tcBorders>
              <w:tl2br w:val="nil"/>
              <w:tr2bl w:val="nil"/>
            </w:tcBorders>
            <w:vAlign w:val="center"/>
          </w:tcPr>
          <w:p>
            <w:pPr>
              <w:pStyle w:val="19"/>
              <w:bidi w:val="0"/>
              <w:rPr>
                <w:rFonts w:hint="eastAsia" w:eastAsia="宋体"/>
                <w:b/>
                <w:bCs w:val="0"/>
                <w:lang w:val="en-US" w:eastAsia="zh-CN"/>
              </w:rPr>
            </w:pPr>
            <w:r>
              <w:rPr>
                <w:rFonts w:hint="eastAsia"/>
                <w:b/>
                <w:bCs w:val="0"/>
                <w:lang w:val="en-US" w:eastAsia="zh-CN"/>
              </w:rPr>
              <w:t>实际</w:t>
            </w:r>
          </w:p>
        </w:tc>
        <w:tc>
          <w:tcPr>
            <w:tcW w:w="1660" w:type="dxa"/>
            <w:vMerge w:val="continue"/>
            <w:tcBorders>
              <w:tl2br w:val="nil"/>
              <w:tr2bl w:val="nil"/>
            </w:tcBorders>
            <w:vAlign w:val="center"/>
          </w:tcPr>
          <w:p>
            <w:pPr>
              <w:pStyle w:val="19"/>
              <w:bidi w:val="0"/>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tcBorders>
              <w:tl2br w:val="nil"/>
              <w:tr2bl w:val="nil"/>
            </w:tcBorders>
            <w:vAlign w:val="center"/>
          </w:tcPr>
          <w:p>
            <w:pPr>
              <w:pStyle w:val="19"/>
              <w:ind w:firstLine="0" w:firstLineChars="0"/>
              <w:rPr>
                <w:rFonts w:hint="default"/>
                <w:lang w:val="en-US" w:eastAsia="zh-CN"/>
              </w:rPr>
            </w:pPr>
            <w:r>
              <w:rPr>
                <w:rFonts w:hint="eastAsia"/>
                <w:lang w:val="en-US" w:eastAsia="zh-CN"/>
              </w:rPr>
              <w:t>一般固废</w:t>
            </w:r>
          </w:p>
        </w:tc>
        <w:tc>
          <w:tcPr>
            <w:tcW w:w="810" w:type="dxa"/>
            <w:tcBorders>
              <w:tl2br w:val="nil"/>
              <w:tr2bl w:val="nil"/>
            </w:tcBorders>
            <w:vAlign w:val="center"/>
          </w:tcPr>
          <w:p>
            <w:pPr>
              <w:pStyle w:val="19"/>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原料包装</w:t>
            </w:r>
          </w:p>
        </w:tc>
        <w:tc>
          <w:tcPr>
            <w:tcW w:w="1850" w:type="dxa"/>
            <w:tcBorders>
              <w:tl2br w:val="nil"/>
              <w:tr2bl w:val="nil"/>
            </w:tcBorders>
            <w:vAlign w:val="center"/>
          </w:tcPr>
          <w:p>
            <w:pPr>
              <w:pStyle w:val="19"/>
              <w:ind w:firstLine="0" w:firstLineChars="0"/>
              <w:rPr>
                <w:rFonts w:hint="default"/>
                <w:lang w:val="en-US" w:eastAsia="zh-CN"/>
              </w:rPr>
            </w:pPr>
            <w:r>
              <w:t>废包装袋</w:t>
            </w:r>
          </w:p>
        </w:tc>
        <w:tc>
          <w:tcPr>
            <w:tcW w:w="1650" w:type="dxa"/>
            <w:tcBorders>
              <w:tl2br w:val="nil"/>
              <w:tr2bl w:val="nil"/>
            </w:tcBorders>
            <w:vAlign w:val="center"/>
          </w:tcPr>
          <w:p>
            <w:pPr>
              <w:pStyle w:val="19"/>
              <w:ind w:firstLine="0" w:firstLineChars="0"/>
              <w:rPr>
                <w:rFonts w:hint="default"/>
                <w:lang w:val="en-US"/>
              </w:rPr>
            </w:pPr>
            <w:r>
              <w:t>一般固废堆场暂存，定期外售</w:t>
            </w:r>
          </w:p>
        </w:tc>
        <w:tc>
          <w:tcPr>
            <w:tcW w:w="1687" w:type="dxa"/>
            <w:tcBorders>
              <w:tl2br w:val="nil"/>
              <w:tr2bl w:val="nil"/>
            </w:tcBorders>
            <w:vAlign w:val="center"/>
          </w:tcPr>
          <w:p>
            <w:pPr>
              <w:pStyle w:val="19"/>
              <w:ind w:firstLine="0" w:firstLineChars="0"/>
              <w:rPr>
                <w:rFonts w:hint="default"/>
                <w:lang w:val="en-US"/>
              </w:rPr>
            </w:pPr>
            <w:r>
              <w:t>一般固废堆场暂存，定期外售</w:t>
            </w:r>
          </w:p>
        </w:tc>
        <w:tc>
          <w:tcPr>
            <w:tcW w:w="1660" w:type="dxa"/>
            <w:tcBorders>
              <w:tl2br w:val="nil"/>
              <w:tr2bl w:val="nil"/>
            </w:tcBorders>
            <w:vAlign w:val="center"/>
          </w:tcPr>
          <w:p>
            <w:pPr>
              <w:pStyle w:val="19"/>
              <w:bidi w:val="0"/>
              <w:ind w:firstLine="0" w:firstLineChars="0"/>
              <w:rPr>
                <w:rFonts w:hint="default"/>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tcBorders>
              <w:tl2br w:val="nil"/>
              <w:tr2bl w:val="nil"/>
            </w:tcBorders>
            <w:vAlign w:val="center"/>
          </w:tcPr>
          <w:p>
            <w:pPr>
              <w:pStyle w:val="19"/>
              <w:ind w:firstLine="0" w:firstLineChars="0"/>
              <w:rPr>
                <w:rFonts w:hint="eastAsia"/>
              </w:rPr>
            </w:pPr>
            <w:bookmarkStart w:id="153" w:name="_Toc13746"/>
            <w:bookmarkStart w:id="154" w:name="_Toc19143"/>
            <w:bookmarkStart w:id="155" w:name="_Toc14370"/>
            <w:bookmarkStart w:id="156" w:name="_Toc29288"/>
            <w:bookmarkStart w:id="157" w:name="_Toc8058"/>
          </w:p>
        </w:tc>
        <w:tc>
          <w:tcPr>
            <w:tcW w:w="810" w:type="dxa"/>
            <w:tcBorders>
              <w:tl2br w:val="nil"/>
              <w:tr2bl w:val="nil"/>
            </w:tcBorders>
            <w:vAlign w:val="center"/>
          </w:tcPr>
          <w:p>
            <w:pPr>
              <w:pStyle w:val="19"/>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检验</w:t>
            </w:r>
          </w:p>
        </w:tc>
        <w:tc>
          <w:tcPr>
            <w:tcW w:w="1850" w:type="dxa"/>
            <w:tcBorders>
              <w:tl2br w:val="nil"/>
              <w:tr2bl w:val="nil"/>
            </w:tcBorders>
            <w:vAlign w:val="center"/>
          </w:tcPr>
          <w:p>
            <w:pPr>
              <w:pStyle w:val="19"/>
              <w:ind w:firstLine="0" w:firstLineChars="0"/>
              <w:rPr>
                <w:rFonts w:hint="eastAsia"/>
                <w:lang w:val="en-US" w:eastAsia="zh-CN"/>
              </w:rPr>
            </w:pPr>
            <w:r>
              <w:t>不合格产品</w:t>
            </w:r>
          </w:p>
        </w:tc>
        <w:tc>
          <w:tcPr>
            <w:tcW w:w="1650" w:type="dxa"/>
            <w:tcBorders>
              <w:tl2br w:val="nil"/>
              <w:tr2bl w:val="nil"/>
            </w:tcBorders>
            <w:vAlign w:val="center"/>
          </w:tcPr>
          <w:p>
            <w:pPr>
              <w:pStyle w:val="19"/>
              <w:ind w:firstLine="0" w:firstLineChars="0"/>
              <w:rPr>
                <w:rFonts w:hint="eastAsia" w:ascii="宋体" w:hAnsi="宋体" w:eastAsia="宋体" w:cs="宋体"/>
                <w:snapToGrid w:val="0"/>
                <w:lang w:val="en-US" w:eastAsia="zh-CN" w:bidi="ar"/>
              </w:rPr>
            </w:pPr>
            <w:r>
              <w:t>破碎后回用于生产线</w:t>
            </w:r>
          </w:p>
        </w:tc>
        <w:tc>
          <w:tcPr>
            <w:tcW w:w="1687" w:type="dxa"/>
            <w:tcBorders>
              <w:tl2br w:val="nil"/>
              <w:tr2bl w:val="nil"/>
            </w:tcBorders>
            <w:vAlign w:val="center"/>
          </w:tcPr>
          <w:p>
            <w:pPr>
              <w:pStyle w:val="19"/>
              <w:ind w:firstLine="0" w:firstLineChars="0"/>
              <w:rPr>
                <w:rFonts w:hint="eastAsia" w:ascii="宋体" w:hAnsi="宋体" w:eastAsia="宋体" w:cs="宋体"/>
                <w:snapToGrid w:val="0"/>
                <w:lang w:val="en-US" w:eastAsia="zh-CN" w:bidi="ar"/>
              </w:rPr>
            </w:pPr>
            <w:r>
              <w:t>破碎后回用于生产线</w:t>
            </w:r>
          </w:p>
        </w:tc>
        <w:tc>
          <w:tcPr>
            <w:tcW w:w="1660" w:type="dxa"/>
            <w:tcBorders>
              <w:tl2br w:val="nil"/>
              <w:tr2bl w:val="nil"/>
            </w:tcBorders>
            <w:vAlign w:val="center"/>
          </w:tcPr>
          <w:p>
            <w:pPr>
              <w:pStyle w:val="19"/>
              <w:bidi w:val="0"/>
              <w:ind w:firstLine="0" w:firstLineChars="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tcBorders>
              <w:tl2br w:val="nil"/>
              <w:tr2bl w:val="nil"/>
            </w:tcBorders>
            <w:vAlign w:val="center"/>
          </w:tcPr>
          <w:p>
            <w:pPr>
              <w:pStyle w:val="19"/>
              <w:bidi w:val="0"/>
              <w:rPr>
                <w:rFonts w:hint="default" w:eastAsia="宋体"/>
                <w:lang w:val="en-US" w:eastAsia="zh-CN"/>
              </w:rPr>
            </w:pPr>
            <w:r>
              <w:rPr>
                <w:rFonts w:hint="eastAsia"/>
                <w:lang w:val="en-US" w:eastAsia="zh-CN"/>
              </w:rPr>
              <w:t>危险废物</w:t>
            </w:r>
          </w:p>
        </w:tc>
        <w:tc>
          <w:tcPr>
            <w:tcW w:w="810" w:type="dxa"/>
            <w:tcBorders>
              <w:tl2br w:val="nil"/>
              <w:tr2bl w:val="nil"/>
            </w:tcBorders>
            <w:vAlign w:val="center"/>
          </w:tcPr>
          <w:p>
            <w:pPr>
              <w:pStyle w:val="19"/>
              <w:bidi w:val="0"/>
              <w:rPr>
                <w:rFonts w:hint="default" w:eastAsia="宋体"/>
                <w:lang w:val="en-US" w:eastAsia="zh-CN"/>
              </w:rPr>
            </w:pPr>
            <w:r>
              <w:rPr>
                <w:rFonts w:hint="eastAsia"/>
                <w:lang w:val="en-US" w:eastAsia="zh-CN"/>
              </w:rPr>
              <w:t>设备维护</w:t>
            </w:r>
          </w:p>
        </w:tc>
        <w:tc>
          <w:tcPr>
            <w:tcW w:w="1850" w:type="dxa"/>
            <w:tcBorders>
              <w:tl2br w:val="nil"/>
              <w:tr2bl w:val="nil"/>
            </w:tcBorders>
            <w:vAlign w:val="center"/>
          </w:tcPr>
          <w:p>
            <w:pPr>
              <w:pStyle w:val="19"/>
              <w:ind w:firstLine="0" w:firstLineChars="0"/>
              <w:rPr>
                <w:rFonts w:hint="eastAsia"/>
                <w:lang w:val="en-US" w:eastAsia="zh-CN"/>
              </w:rPr>
            </w:pPr>
            <w:r>
              <w:t>废液压油</w:t>
            </w:r>
          </w:p>
        </w:tc>
        <w:tc>
          <w:tcPr>
            <w:tcW w:w="1650" w:type="dxa"/>
            <w:vMerge w:val="restart"/>
            <w:tcBorders>
              <w:tl2br w:val="nil"/>
              <w:tr2bl w:val="nil"/>
            </w:tcBorders>
            <w:vAlign w:val="center"/>
          </w:tcPr>
          <w:p>
            <w:pPr>
              <w:pStyle w:val="19"/>
              <w:bidi w:val="0"/>
              <w:rPr>
                <w:rFonts w:hint="eastAsia" w:ascii="宋体" w:hAnsi="宋体" w:eastAsia="宋体" w:cs="宋体"/>
                <w:snapToGrid w:val="0"/>
                <w:lang w:val="en-US" w:eastAsia="zh-CN" w:bidi="ar"/>
              </w:rPr>
            </w:pPr>
            <w:r>
              <w:rPr>
                <w:rFonts w:hint="eastAsia" w:ascii="宋体" w:hAnsi="宋体" w:eastAsia="宋体" w:cs="宋体"/>
                <w:snapToGrid w:val="0"/>
                <w:lang w:val="en-US" w:eastAsia="zh-CN" w:bidi="ar"/>
              </w:rPr>
              <w:t>专用容器收集后暂存于危废间，定期由有危废处理资质单位回收处置</w:t>
            </w:r>
            <w:r>
              <w:rPr>
                <w:rFonts w:hint="eastAsia" w:ascii="宋体" w:hAnsi="宋体" w:cs="宋体"/>
                <w:snapToGrid w:val="0"/>
                <w:lang w:val="en-US" w:eastAsia="zh-CN" w:bidi="ar"/>
              </w:rPr>
              <w:t>。</w:t>
            </w:r>
          </w:p>
        </w:tc>
        <w:tc>
          <w:tcPr>
            <w:tcW w:w="1687" w:type="dxa"/>
            <w:vMerge w:val="restart"/>
            <w:tcBorders>
              <w:tl2br w:val="nil"/>
              <w:tr2bl w:val="nil"/>
            </w:tcBorders>
            <w:vAlign w:val="center"/>
          </w:tcPr>
          <w:p>
            <w:pPr>
              <w:pStyle w:val="19"/>
              <w:bidi w:val="0"/>
              <w:ind w:firstLine="0" w:firstLineChars="0"/>
              <w:rPr>
                <w:rFonts w:hint="eastAsia" w:ascii="宋体" w:hAnsi="宋体" w:eastAsia="宋体" w:cs="宋体"/>
                <w:snapToGrid w:val="0"/>
                <w:lang w:val="en-US" w:eastAsia="zh-CN" w:bidi="ar"/>
              </w:rPr>
            </w:pPr>
            <w:r>
              <w:rPr>
                <w:rFonts w:hint="eastAsia"/>
                <w:color w:val="auto"/>
              </w:rPr>
              <w:t>专用容器收集后暂存于危废间，定期由</w:t>
            </w:r>
            <w:r>
              <w:rPr>
                <w:rFonts w:hint="eastAsia" w:eastAsia="宋体"/>
                <w:color w:val="auto"/>
                <w:lang w:val="en-US" w:eastAsia="zh-CN"/>
              </w:rPr>
              <w:t>新乡威斯特环保科技有限公司</w:t>
            </w:r>
            <w:r>
              <w:rPr>
                <w:rFonts w:hint="eastAsia"/>
                <w:color w:val="auto"/>
                <w:lang w:val="en-US" w:eastAsia="zh-CN"/>
              </w:rPr>
              <w:t>收集处理</w:t>
            </w:r>
            <w:r>
              <w:rPr>
                <w:rFonts w:hint="eastAsia" w:ascii="宋体" w:hAnsi="宋体" w:cs="宋体"/>
                <w:snapToGrid w:val="0"/>
                <w:color w:val="auto"/>
                <w:lang w:val="en-US" w:eastAsia="zh-CN" w:bidi="ar"/>
              </w:rPr>
              <w:t>。</w:t>
            </w:r>
          </w:p>
        </w:tc>
        <w:tc>
          <w:tcPr>
            <w:tcW w:w="1660" w:type="dxa"/>
            <w:vMerge w:val="restart"/>
            <w:tcBorders>
              <w:tl2br w:val="nil"/>
              <w:tr2bl w:val="nil"/>
            </w:tcBorders>
            <w:vAlign w:val="center"/>
          </w:tcPr>
          <w:p>
            <w:pPr>
              <w:pStyle w:val="19"/>
              <w:bidi w:val="0"/>
              <w:ind w:firstLine="0" w:firstLineChars="0"/>
              <w:rPr>
                <w:rFonts w:hint="eastAsia"/>
                <w:lang w:val="en-US" w:eastAsia="zh-CN"/>
              </w:rPr>
            </w:pPr>
            <w:r>
              <w:rPr>
                <w:rFonts w:hint="eastAsia"/>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tcBorders>
              <w:tl2br w:val="nil"/>
              <w:tr2bl w:val="nil"/>
            </w:tcBorders>
            <w:vAlign w:val="center"/>
          </w:tcPr>
          <w:p>
            <w:pPr>
              <w:pStyle w:val="19"/>
              <w:bidi w:val="0"/>
              <w:rPr>
                <w:rFonts w:hint="eastAsia"/>
              </w:rPr>
            </w:pPr>
          </w:p>
        </w:tc>
        <w:tc>
          <w:tcPr>
            <w:tcW w:w="810" w:type="dxa"/>
            <w:vMerge w:val="restart"/>
            <w:tcBorders>
              <w:tl2br w:val="nil"/>
              <w:tr2bl w:val="nil"/>
            </w:tcBorders>
            <w:vAlign w:val="center"/>
          </w:tcPr>
          <w:p>
            <w:pPr>
              <w:pStyle w:val="19"/>
              <w:bidi w:val="0"/>
              <w:rPr>
                <w:rFonts w:hint="default" w:eastAsia="宋体"/>
                <w:lang w:val="en-US" w:eastAsia="zh-CN"/>
              </w:rPr>
            </w:pPr>
            <w:r>
              <w:rPr>
                <w:rFonts w:hint="eastAsia"/>
                <w:lang w:val="en-US" w:eastAsia="zh-CN"/>
              </w:rPr>
              <w:t>废气处理</w:t>
            </w:r>
          </w:p>
        </w:tc>
        <w:tc>
          <w:tcPr>
            <w:tcW w:w="1850" w:type="dxa"/>
            <w:tcBorders>
              <w:tl2br w:val="nil"/>
              <w:tr2bl w:val="nil"/>
            </w:tcBorders>
            <w:vAlign w:val="center"/>
          </w:tcPr>
          <w:p>
            <w:pPr>
              <w:pStyle w:val="19"/>
              <w:ind w:firstLine="0" w:firstLineChars="0"/>
              <w:rPr>
                <w:rFonts w:hint="eastAsia"/>
                <w:lang w:val="en-US" w:eastAsia="zh-CN"/>
              </w:rPr>
            </w:pPr>
            <w:r>
              <w:t>废活性炭</w:t>
            </w:r>
          </w:p>
        </w:tc>
        <w:tc>
          <w:tcPr>
            <w:tcW w:w="1650" w:type="dxa"/>
            <w:vMerge w:val="continue"/>
            <w:tcBorders>
              <w:tl2br w:val="nil"/>
              <w:tr2bl w:val="nil"/>
            </w:tcBorders>
            <w:vAlign w:val="center"/>
          </w:tcPr>
          <w:p>
            <w:pPr>
              <w:pStyle w:val="19"/>
              <w:bidi w:val="0"/>
              <w:rPr>
                <w:rFonts w:hint="eastAsia" w:ascii="宋体" w:hAnsi="宋体" w:eastAsia="宋体" w:cs="宋体"/>
                <w:snapToGrid w:val="0"/>
                <w:lang w:val="en-US" w:eastAsia="zh-CN" w:bidi="ar"/>
              </w:rPr>
            </w:pPr>
          </w:p>
        </w:tc>
        <w:tc>
          <w:tcPr>
            <w:tcW w:w="1687" w:type="dxa"/>
            <w:vMerge w:val="continue"/>
            <w:tcBorders>
              <w:tl2br w:val="nil"/>
              <w:tr2bl w:val="nil"/>
            </w:tcBorders>
            <w:vAlign w:val="center"/>
          </w:tcPr>
          <w:p>
            <w:pPr>
              <w:pStyle w:val="19"/>
              <w:bidi w:val="0"/>
              <w:ind w:firstLine="0" w:firstLineChars="0"/>
              <w:rPr>
                <w:rFonts w:hint="eastAsia" w:ascii="宋体" w:hAnsi="宋体" w:eastAsia="宋体" w:cs="宋体"/>
                <w:snapToGrid w:val="0"/>
                <w:lang w:val="en-US" w:eastAsia="zh-CN" w:bidi="ar"/>
              </w:rPr>
            </w:pPr>
          </w:p>
        </w:tc>
        <w:tc>
          <w:tcPr>
            <w:tcW w:w="1660" w:type="dxa"/>
            <w:vMerge w:val="continue"/>
            <w:tcBorders>
              <w:tl2br w:val="nil"/>
              <w:tr2bl w:val="nil"/>
            </w:tcBorders>
            <w:vAlign w:val="center"/>
          </w:tcPr>
          <w:p>
            <w:pPr>
              <w:pStyle w:val="19"/>
              <w:bidi w:val="0"/>
              <w:ind w:firstLine="0" w:firstLineChars="0"/>
              <w:rPr>
                <w:rFonts w:hint="eastAsia"/>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tcBorders>
              <w:tl2br w:val="nil"/>
              <w:tr2bl w:val="nil"/>
            </w:tcBorders>
            <w:vAlign w:val="center"/>
          </w:tcPr>
          <w:p>
            <w:pPr>
              <w:pStyle w:val="19"/>
              <w:bidi w:val="0"/>
              <w:rPr>
                <w:rFonts w:hint="eastAsia"/>
              </w:rPr>
            </w:pPr>
          </w:p>
        </w:tc>
        <w:tc>
          <w:tcPr>
            <w:tcW w:w="810" w:type="dxa"/>
            <w:vMerge w:val="continue"/>
            <w:tcBorders>
              <w:tl2br w:val="nil"/>
              <w:tr2bl w:val="nil"/>
            </w:tcBorders>
            <w:vAlign w:val="center"/>
          </w:tcPr>
          <w:p>
            <w:pPr>
              <w:pStyle w:val="19"/>
              <w:bidi w:val="0"/>
              <w:rPr>
                <w:rFonts w:hint="eastAsia"/>
              </w:rPr>
            </w:pPr>
          </w:p>
        </w:tc>
        <w:tc>
          <w:tcPr>
            <w:tcW w:w="1850" w:type="dxa"/>
            <w:tcBorders>
              <w:tl2br w:val="nil"/>
              <w:tr2bl w:val="nil"/>
            </w:tcBorders>
            <w:vAlign w:val="center"/>
          </w:tcPr>
          <w:p>
            <w:pPr>
              <w:pStyle w:val="19"/>
              <w:ind w:firstLine="0" w:firstLineChars="0"/>
              <w:rPr>
                <w:rFonts w:hint="eastAsia"/>
                <w:lang w:val="en-US" w:eastAsia="zh-CN"/>
              </w:rPr>
            </w:pPr>
            <w:r>
              <w:t>废催化剂</w:t>
            </w:r>
          </w:p>
        </w:tc>
        <w:tc>
          <w:tcPr>
            <w:tcW w:w="1650" w:type="dxa"/>
            <w:vMerge w:val="continue"/>
            <w:tcBorders>
              <w:tl2br w:val="nil"/>
              <w:tr2bl w:val="nil"/>
            </w:tcBorders>
            <w:vAlign w:val="center"/>
          </w:tcPr>
          <w:p>
            <w:pPr>
              <w:pStyle w:val="19"/>
              <w:bidi w:val="0"/>
              <w:rPr>
                <w:rFonts w:hint="eastAsia" w:ascii="宋体" w:hAnsi="宋体" w:eastAsia="宋体" w:cs="宋体"/>
                <w:snapToGrid w:val="0"/>
                <w:lang w:val="en-US" w:eastAsia="zh-CN" w:bidi="ar"/>
              </w:rPr>
            </w:pPr>
          </w:p>
        </w:tc>
        <w:tc>
          <w:tcPr>
            <w:tcW w:w="1687" w:type="dxa"/>
            <w:vMerge w:val="continue"/>
            <w:tcBorders>
              <w:tl2br w:val="nil"/>
              <w:tr2bl w:val="nil"/>
            </w:tcBorders>
            <w:vAlign w:val="center"/>
          </w:tcPr>
          <w:p>
            <w:pPr>
              <w:pStyle w:val="19"/>
              <w:bidi w:val="0"/>
              <w:ind w:firstLine="0" w:firstLineChars="0"/>
              <w:rPr>
                <w:rFonts w:hint="eastAsia" w:ascii="宋体" w:hAnsi="宋体" w:eastAsia="宋体" w:cs="宋体"/>
                <w:snapToGrid w:val="0"/>
                <w:lang w:val="en-US" w:eastAsia="zh-CN" w:bidi="ar"/>
              </w:rPr>
            </w:pPr>
          </w:p>
        </w:tc>
        <w:tc>
          <w:tcPr>
            <w:tcW w:w="1660" w:type="dxa"/>
            <w:vMerge w:val="continue"/>
            <w:tcBorders>
              <w:tl2br w:val="nil"/>
              <w:tr2bl w:val="nil"/>
            </w:tcBorders>
            <w:vAlign w:val="center"/>
          </w:tcPr>
          <w:p>
            <w:pPr>
              <w:pStyle w:val="19"/>
              <w:bidi w:val="0"/>
              <w:ind w:firstLine="0" w:firstLineChars="0"/>
              <w:rPr>
                <w:rFonts w:hint="eastAsia"/>
                <w:lang w:val="en-US" w:eastAsia="zh-CN"/>
              </w:rPr>
            </w:pPr>
          </w:p>
        </w:tc>
      </w:tr>
      <w:bookmarkEnd w:id="152"/>
    </w:tbl>
    <w:p>
      <w:pPr>
        <w:bidi w:val="0"/>
        <w:rPr>
          <w:rFonts w:hint="default"/>
          <w:lang w:val="en-US" w:eastAsia="zh-CN"/>
        </w:rPr>
      </w:pPr>
      <w:r>
        <w:rPr>
          <w:rFonts w:hint="eastAsia"/>
          <w:lang w:val="en-US" w:eastAsia="zh-CN"/>
        </w:rPr>
        <w:t>由上表可知，</w:t>
      </w:r>
      <w:r>
        <w:rPr>
          <w:rFonts w:hint="eastAsia"/>
          <w:color w:val="auto"/>
          <w:lang w:val="en-US" w:eastAsia="zh-CN"/>
        </w:rPr>
        <w:t>该项目固废处理措施与环评批复一致，没有发生变动。</w:t>
      </w:r>
    </w:p>
    <w:p>
      <w:pPr>
        <w:pStyle w:val="3"/>
        <w:bidi w:val="0"/>
        <w:rPr>
          <w:rFonts w:hint="default"/>
          <w:lang w:eastAsia="zh-CN"/>
        </w:rPr>
      </w:pPr>
      <w:bookmarkStart w:id="158" w:name="_Toc14890"/>
      <w:r>
        <w:rPr>
          <w:rFonts w:hint="eastAsia"/>
        </w:rPr>
        <w:t>其他环境保护设施</w:t>
      </w:r>
      <w:bookmarkEnd w:id="153"/>
      <w:bookmarkEnd w:id="158"/>
    </w:p>
    <w:bookmarkEnd w:id="154"/>
    <w:bookmarkEnd w:id="155"/>
    <w:bookmarkEnd w:id="156"/>
    <w:bookmarkEnd w:id="157"/>
    <w:p>
      <w:pPr>
        <w:bidi w:val="0"/>
        <w:rPr>
          <w:rFonts w:hint="default" w:ascii="Times New Roman" w:hAnsi="Times New Roman" w:cs="Times New Roman"/>
          <w:lang w:val="en-US" w:eastAsia="zh-CN"/>
        </w:rPr>
      </w:pPr>
      <w:bookmarkStart w:id="159" w:name="_Toc32346"/>
      <w:bookmarkStart w:id="160" w:name="_Toc14744"/>
      <w:bookmarkStart w:id="161" w:name="_Toc5258"/>
      <w:bookmarkStart w:id="162" w:name="_Toc22569"/>
      <w:bookmarkStart w:id="163" w:name="_Toc5812"/>
      <w:bookmarkStart w:id="164" w:name="_Toc497001466"/>
      <w:r>
        <w:rPr>
          <w:rFonts w:hint="default"/>
          <w:lang w:val="en-US" w:eastAsia="zh-CN"/>
        </w:rPr>
        <w:t>本</w:t>
      </w:r>
      <w:r>
        <w:rPr>
          <w:rFonts w:hint="eastAsia"/>
          <w:lang w:val="en-US" w:eastAsia="zh-CN"/>
        </w:rPr>
        <w:t>公司</w:t>
      </w:r>
      <w:r>
        <w:rPr>
          <w:rFonts w:hint="default"/>
          <w:lang w:val="en-US" w:eastAsia="zh-CN"/>
        </w:rPr>
        <w:t>已按照要求建设规范化废气排放口，</w:t>
      </w:r>
      <w:r>
        <w:rPr>
          <w:rFonts w:hint="eastAsia"/>
          <w:lang w:val="en-US" w:eastAsia="zh-CN"/>
        </w:rPr>
        <w:t>废气</w:t>
      </w:r>
      <w:r>
        <w:rPr>
          <w:rFonts w:hint="default"/>
          <w:lang w:val="en-US" w:eastAsia="zh-CN"/>
        </w:rPr>
        <w:t>排放口</w:t>
      </w:r>
      <w:r>
        <w:rPr>
          <w:rFonts w:hint="eastAsia"/>
          <w:lang w:val="en-US" w:eastAsia="zh-CN"/>
        </w:rPr>
        <w:t>已</w:t>
      </w:r>
      <w:r>
        <w:rPr>
          <w:rFonts w:hint="default"/>
          <w:lang w:val="en-US" w:eastAsia="zh-CN"/>
        </w:rPr>
        <w:t>配套建设废气监测孔等监测设施。</w:t>
      </w:r>
    </w:p>
    <w:p>
      <w:pPr>
        <w:pStyle w:val="2"/>
        <w:bidi w:val="0"/>
        <w:rPr>
          <w:rFonts w:hint="default"/>
        </w:rPr>
      </w:pPr>
      <w:bookmarkStart w:id="165" w:name="_Toc17012"/>
      <w:r>
        <w:rPr>
          <w:rFonts w:hint="eastAsia"/>
          <w:lang w:eastAsia="zh-CN"/>
        </w:rPr>
        <w:t>环境影响</w:t>
      </w:r>
      <w:r>
        <w:rPr>
          <w:rFonts w:hint="default"/>
        </w:rPr>
        <w:t>报告</w:t>
      </w:r>
      <w:r>
        <w:rPr>
          <w:rFonts w:hint="eastAsia"/>
          <w:lang w:val="en-US" w:eastAsia="zh-CN"/>
        </w:rPr>
        <w:t>表</w:t>
      </w:r>
      <w:r>
        <w:rPr>
          <w:rFonts w:hint="default"/>
        </w:rPr>
        <w:t>主要结论与建议及</w:t>
      </w:r>
      <w:r>
        <w:rPr>
          <w:rFonts w:hint="eastAsia"/>
          <w:lang w:eastAsia="zh-CN"/>
        </w:rPr>
        <w:t>其</w:t>
      </w:r>
      <w:r>
        <w:rPr>
          <w:rFonts w:hint="default"/>
        </w:rPr>
        <w:t>审批部门审批决定</w:t>
      </w:r>
      <w:bookmarkEnd w:id="159"/>
      <w:bookmarkEnd w:id="160"/>
      <w:bookmarkEnd w:id="161"/>
      <w:bookmarkEnd w:id="162"/>
      <w:bookmarkEnd w:id="163"/>
      <w:bookmarkEnd w:id="165"/>
    </w:p>
    <w:bookmarkEnd w:id="164"/>
    <w:p>
      <w:pPr>
        <w:pStyle w:val="3"/>
        <w:bidi w:val="0"/>
        <w:rPr>
          <w:rFonts w:hint="default"/>
        </w:rPr>
      </w:pPr>
      <w:bookmarkStart w:id="166" w:name="_Toc3467"/>
      <w:bookmarkStart w:id="167" w:name="_Toc26580"/>
      <w:bookmarkStart w:id="168" w:name="_Toc26318"/>
      <w:bookmarkStart w:id="169" w:name="_Toc10488"/>
      <w:bookmarkStart w:id="170" w:name="_Toc28477"/>
      <w:bookmarkStart w:id="171" w:name="_Toc24234"/>
      <w:r>
        <w:rPr>
          <w:rFonts w:hint="default"/>
        </w:rPr>
        <w:t>建设项目环评报告</w:t>
      </w:r>
      <w:r>
        <w:rPr>
          <w:rFonts w:hint="eastAsia"/>
          <w:lang w:val="en-US" w:eastAsia="zh-CN"/>
        </w:rPr>
        <w:t>表</w:t>
      </w:r>
      <w:r>
        <w:rPr>
          <w:rFonts w:hint="default"/>
        </w:rPr>
        <w:t>的主要结论</w:t>
      </w:r>
      <w:bookmarkEnd w:id="166"/>
      <w:bookmarkEnd w:id="167"/>
      <w:bookmarkEnd w:id="168"/>
      <w:bookmarkEnd w:id="169"/>
      <w:bookmarkEnd w:id="170"/>
      <w:bookmarkEnd w:id="171"/>
    </w:p>
    <w:p>
      <w:pPr>
        <w:bidi w:val="0"/>
        <w:rPr>
          <w:rFonts w:hint="eastAsia"/>
          <w:lang w:val="en-US" w:eastAsia="zh-CN"/>
        </w:rPr>
      </w:pPr>
      <w:bookmarkStart w:id="172" w:name="_Toc497001469"/>
      <w:bookmarkStart w:id="173" w:name="_Toc3573"/>
      <w:bookmarkStart w:id="174" w:name="_Toc26731"/>
      <w:bookmarkStart w:id="175" w:name="_Toc4226"/>
      <w:bookmarkStart w:id="176" w:name="_Toc25811"/>
      <w:bookmarkStart w:id="177" w:name="_Toc31933"/>
      <w:r>
        <w:rPr>
          <w:rFonts w:hint="eastAsia"/>
          <w:lang w:val="en-US" w:eastAsia="zh-CN"/>
        </w:rPr>
        <w:t>新乡市鸿鹄电子科技有限公司年产50亿只密封圈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pPr>
        <w:pStyle w:val="3"/>
        <w:bidi w:val="0"/>
        <w:rPr>
          <w:rFonts w:hint="eastAsia"/>
          <w:lang w:eastAsia="zh-CN"/>
        </w:rPr>
      </w:pPr>
      <w:bookmarkStart w:id="178" w:name="_Toc11707"/>
      <w:r>
        <w:rPr>
          <w:rFonts w:hint="default"/>
        </w:rPr>
        <w:t>审批部门审批</w:t>
      </w:r>
      <w:bookmarkEnd w:id="172"/>
      <w:bookmarkEnd w:id="173"/>
      <w:bookmarkEnd w:id="174"/>
      <w:bookmarkEnd w:id="175"/>
      <w:bookmarkEnd w:id="176"/>
      <w:bookmarkEnd w:id="177"/>
      <w:r>
        <w:rPr>
          <w:rFonts w:hint="eastAsia"/>
          <w:lang w:val="en-US" w:eastAsia="zh-CN"/>
        </w:rPr>
        <w:t>决定</w:t>
      </w:r>
      <w:bookmarkEnd w:id="178"/>
    </w:p>
    <w:p>
      <w:pPr>
        <w:bidi w:val="0"/>
        <w:ind w:left="0" w:leftChars="0" w:firstLine="0" w:firstLineChars="0"/>
        <w:jc w:val="center"/>
        <w:rPr>
          <w:rFonts w:hint="eastAsia"/>
          <w:b w:val="0"/>
          <w:bCs w:val="0"/>
          <w:lang w:val="en-US" w:eastAsia="zh-CN"/>
        </w:rPr>
      </w:pPr>
      <w:bookmarkStart w:id="179" w:name="_Toc17981"/>
      <w:bookmarkStart w:id="180" w:name="_Toc497001472"/>
      <w:bookmarkStart w:id="181" w:name="_Toc20966"/>
      <w:bookmarkStart w:id="182" w:name="_Toc23509"/>
      <w:bookmarkStart w:id="183" w:name="_Toc5572"/>
      <w:r>
        <w:rPr>
          <w:rFonts w:hint="eastAsia"/>
          <w:b w:val="0"/>
          <w:bCs w:val="0"/>
          <w:lang w:val="en-US" w:eastAsia="zh-CN"/>
        </w:rPr>
        <w:t>新乡市生态环境局凤泉分局</w:t>
      </w:r>
    </w:p>
    <w:p>
      <w:pPr>
        <w:bidi w:val="0"/>
        <w:ind w:left="0" w:leftChars="0" w:firstLine="0" w:firstLineChars="0"/>
        <w:jc w:val="center"/>
        <w:rPr>
          <w:rFonts w:hint="eastAsia"/>
          <w:b w:val="0"/>
          <w:bCs w:val="0"/>
        </w:rPr>
      </w:pPr>
      <w:r>
        <w:rPr>
          <w:rFonts w:hint="eastAsia"/>
          <w:b w:val="0"/>
          <w:bCs w:val="0"/>
          <w:lang w:val="en-US" w:eastAsia="zh-CN"/>
        </w:rPr>
        <w:t>关于《新乡市鸿鹄电子科技有限公司年产50亿只密封圈项目环境影响评价报告表》的批复</w:t>
      </w:r>
    </w:p>
    <w:p>
      <w:pPr>
        <w:bidi w:val="0"/>
        <w:ind w:left="0" w:leftChars="0" w:firstLine="0" w:firstLineChars="0"/>
        <w:rPr>
          <w:rFonts w:hint="eastAsia"/>
        </w:rPr>
      </w:pPr>
    </w:p>
    <w:p>
      <w:pPr>
        <w:bidi w:val="0"/>
        <w:jc w:val="right"/>
        <w:rPr>
          <w:rFonts w:hint="eastAsia" w:eastAsia="宋体"/>
          <w:lang w:eastAsia="zh-CN"/>
        </w:rPr>
      </w:pPr>
      <w:r>
        <w:rPr>
          <w:rFonts w:hint="eastAsia"/>
          <w:lang w:eastAsia="zh-CN"/>
        </w:rPr>
        <w:t>凤环审[2023]15号</w:t>
      </w:r>
    </w:p>
    <w:p>
      <w:pPr>
        <w:bidi w:val="0"/>
        <w:ind w:left="0" w:leftChars="0" w:firstLine="0" w:firstLineChars="0"/>
        <w:rPr>
          <w:rFonts w:hint="eastAsia"/>
          <w:lang w:eastAsia="zh-CN"/>
        </w:rPr>
      </w:pPr>
      <w:r>
        <w:rPr>
          <w:rFonts w:hint="eastAsia"/>
          <w:lang w:eastAsia="zh-CN"/>
        </w:rPr>
        <w:t>新乡市鸿鹄电子科技有限公司：</w:t>
      </w:r>
    </w:p>
    <w:p>
      <w:pPr>
        <w:bidi w:val="0"/>
        <w:rPr>
          <w:rFonts w:hint="eastAsia"/>
          <w:lang w:eastAsia="zh-CN"/>
        </w:rPr>
      </w:pPr>
    </w:p>
    <w:p>
      <w:pPr>
        <w:bidi w:val="0"/>
        <w:rPr>
          <w:rFonts w:hint="eastAsia"/>
          <w:lang w:eastAsia="zh-CN"/>
        </w:rPr>
      </w:pPr>
      <w:r>
        <w:rPr>
          <w:rFonts w:hint="eastAsia"/>
          <w:lang w:eastAsia="zh-CN"/>
        </w:rPr>
        <w:t>你单位上报的由新乡市世青环境技术有限公司环评工程师杜俊平职业资格证书管理号：2014035410350000003510410309)编制的《新乡市鸿鹄电子科技有限公司年产50亿只密封圈项目环境影响评价报告表》(以下简称《报告表》)收悉。该项目环评审批事项已在我区党政信息网站公示期满，根据《中华人民共和国环境保护法》、《中华人民共和国行政许可法》、《中华人民共和国环境影响评价法》、《建设项目环境保护管理条例》等法律法规规定，经研究，批复如下：</w:t>
      </w:r>
    </w:p>
    <w:p>
      <w:pPr>
        <w:bidi w:val="0"/>
        <w:rPr>
          <w:rFonts w:hint="eastAsia"/>
          <w:lang w:eastAsia="zh-CN"/>
        </w:rPr>
      </w:pPr>
      <w:r>
        <w:rPr>
          <w:rFonts w:hint="eastAsia"/>
          <w:lang w:eastAsia="zh-CN"/>
        </w:rPr>
        <w:t>一、根据《报告表》结论，原则批准该《报告表》，同意你公司按照《报告表》中所列项目的性质、规模、地点、采用的生产工艺和防治污染措施建设。</w:t>
      </w:r>
    </w:p>
    <w:p>
      <w:pPr>
        <w:bidi w:val="0"/>
        <w:rPr>
          <w:rFonts w:hint="eastAsia"/>
          <w:lang w:eastAsia="zh-CN"/>
        </w:rPr>
      </w:pPr>
      <w:r>
        <w:rPr>
          <w:rFonts w:hint="eastAsia"/>
          <w:lang w:eastAsia="zh-CN"/>
        </w:rPr>
        <w:t>二、你公司应主动向社会公众公开经批准的《报告表》，并接受相关方的咨询。</w:t>
      </w:r>
    </w:p>
    <w:p>
      <w:pPr>
        <w:bidi w:val="0"/>
        <w:rPr>
          <w:rFonts w:hint="eastAsia"/>
          <w:lang w:eastAsia="zh-CN"/>
        </w:rPr>
      </w:pPr>
      <w:r>
        <w:rPr>
          <w:rFonts w:hint="eastAsia"/>
          <w:lang w:eastAsia="zh-CN"/>
        </w:rPr>
        <w:t>三、你公司应全面落实《报告表》提出的各项环保对策措施及环保设施投资概算，确保各项环境保护设施与主体工程同时设计、同时施工、同时投产使用，确保各项污染物达标排放。</w:t>
      </w:r>
    </w:p>
    <w:p>
      <w:pPr>
        <w:bidi w:val="0"/>
        <w:rPr>
          <w:rFonts w:hint="eastAsia"/>
          <w:lang w:eastAsia="zh-CN"/>
        </w:rPr>
      </w:pPr>
      <w:r>
        <w:rPr>
          <w:rFonts w:hint="eastAsia"/>
          <w:lang w:eastAsia="zh-CN"/>
        </w:rPr>
        <w:t>(一)依据《报告表》和本批复文件，对项目建设过程中产生的各类污染物，采取相应的防治措施。</w:t>
      </w:r>
    </w:p>
    <w:p>
      <w:pPr>
        <w:bidi w:val="0"/>
        <w:rPr>
          <w:rFonts w:hint="eastAsia"/>
          <w:lang w:eastAsia="zh-CN"/>
        </w:rPr>
      </w:pPr>
      <w:r>
        <w:rPr>
          <w:rFonts w:hint="eastAsia"/>
          <w:lang w:eastAsia="zh-CN"/>
        </w:rPr>
        <w:t>(二)项目运行时，外排污染物应满足以下要求：</w:t>
      </w:r>
    </w:p>
    <w:p>
      <w:pPr>
        <w:bidi w:val="0"/>
        <w:rPr>
          <w:rFonts w:hint="eastAsia"/>
          <w:lang w:eastAsia="zh-CN"/>
        </w:rPr>
      </w:pPr>
      <w:r>
        <w:rPr>
          <w:rFonts w:hint="eastAsia"/>
          <w:lang w:eastAsia="zh-CN"/>
        </w:rPr>
        <w:t>1、废水：生活污水经化粪池处理后定期清运。</w:t>
      </w:r>
    </w:p>
    <w:p>
      <w:pPr>
        <w:bidi w:val="0"/>
        <w:rPr>
          <w:rFonts w:hint="eastAsia"/>
          <w:lang w:eastAsia="zh-CN"/>
        </w:rPr>
      </w:pPr>
      <w:r>
        <w:rPr>
          <w:rFonts w:hint="eastAsia"/>
          <w:lang w:eastAsia="zh-CN"/>
        </w:rPr>
        <w:t>2、废气：注塑工序采用密闭车间内负压收集+活性炭吸脱附装置-催化燃烧+15m高排气筒，确保满足《合成树脂工业污染物排放标准》(GB31572-2015)表5特别排放限值有组织60mg/m</w:t>
      </w:r>
      <w:r>
        <w:rPr>
          <w:rFonts w:hint="eastAsia"/>
          <w:vertAlign w:val="superscript"/>
          <w:lang w:val="en-US" w:eastAsia="zh-CN"/>
        </w:rPr>
        <w:t>3</w:t>
      </w:r>
      <w:r>
        <w:rPr>
          <w:rFonts w:hint="eastAsia"/>
          <w:lang w:eastAsia="zh-CN"/>
        </w:rPr>
        <w:t>、无组织单位产品非甲烷总烃排放量≤0.3kg/t产品；《关于全省开展工业企业挥发性有机物专项治理工作中排放建议的通知》(豫环攻坚办〔2017〕162号)附件1：80mg/m³，去除效率≥70%、附件2：工业企业边界2.0mg/m</w:t>
      </w:r>
      <w:r>
        <w:rPr>
          <w:rFonts w:hint="eastAsia"/>
          <w:vertAlign w:val="superscript"/>
          <w:lang w:eastAsia="zh-CN"/>
        </w:rPr>
        <w:t>3</w:t>
      </w:r>
      <w:r>
        <w:rPr>
          <w:rFonts w:hint="eastAsia"/>
          <w:vertAlign w:val="baseline"/>
          <w:lang w:eastAsia="zh-CN"/>
        </w:rPr>
        <w:t>；</w:t>
      </w:r>
      <w:r>
        <w:rPr>
          <w:rFonts w:hint="eastAsia"/>
          <w:lang w:eastAsia="zh-CN"/>
        </w:rPr>
        <w:t>《河南省重污染天气重点行业应急减排措施制定技术指南(2021年修订版)》中塑料制品行业全厂有组织NMHC有组织排放浓度不高于10mg/m</w:t>
      </w:r>
      <w:r>
        <w:rPr>
          <w:rFonts w:hint="eastAsia"/>
          <w:vertAlign w:val="superscript"/>
          <w:lang w:eastAsia="zh-CN"/>
        </w:rPr>
        <w:t>3</w:t>
      </w:r>
      <w:r>
        <w:rPr>
          <w:rFonts w:hint="eastAsia"/>
          <w:lang w:eastAsia="zh-CN"/>
        </w:rPr>
        <w:t>。</w:t>
      </w:r>
    </w:p>
    <w:p>
      <w:pPr>
        <w:bidi w:val="0"/>
        <w:rPr>
          <w:rFonts w:hint="eastAsia"/>
          <w:lang w:eastAsia="zh-CN"/>
        </w:rPr>
      </w:pPr>
      <w:r>
        <w:rPr>
          <w:rFonts w:hint="eastAsia"/>
          <w:lang w:eastAsia="zh-CN"/>
        </w:rPr>
        <w:t>3、噪声：高噪声设备采取基础减振、厂房隔音及距离衰减等措施后，确保满足《工业企业厂界环境噪声排放标准》(GB12348-2008)2类排放标准限值要求。</w:t>
      </w:r>
    </w:p>
    <w:p>
      <w:pPr>
        <w:bidi w:val="0"/>
        <w:rPr>
          <w:rFonts w:hint="eastAsia"/>
          <w:lang w:eastAsia="zh-CN"/>
        </w:rPr>
      </w:pPr>
      <w:r>
        <w:rPr>
          <w:rFonts w:hint="eastAsia"/>
          <w:lang w:eastAsia="zh-CN"/>
        </w:rPr>
        <w:t>固废：严格执行环评提出的固废处置措施。一般固废临时贮存按《一般工业固体废物贮存和填埋污染控制标准》(GB18599-2020)要求执行，废包装袋收集后暂存于一般固废暂存间，定期出售。废催化剂经集中收集后，交由厂家回收处理。</w:t>
      </w:r>
    </w:p>
    <w:p>
      <w:pPr>
        <w:bidi w:val="0"/>
        <w:rPr>
          <w:rFonts w:hint="eastAsia"/>
          <w:lang w:eastAsia="zh-CN"/>
        </w:rPr>
      </w:pPr>
      <w:r>
        <w:rPr>
          <w:rFonts w:hint="eastAsia"/>
          <w:lang w:eastAsia="zh-CN"/>
        </w:rPr>
        <w:t>危险废物：液压油、废活性炭、废催化剂暂存于危废暂存间，定期委托有危废处置资质的单位处置，确保满足《危险废物贮存污染控制标准》(GB18597-2023)要求执行。</w:t>
      </w:r>
    </w:p>
    <w:p>
      <w:pPr>
        <w:bidi w:val="0"/>
        <w:rPr>
          <w:rFonts w:hint="eastAsia"/>
          <w:lang w:eastAsia="zh-CN"/>
        </w:rPr>
      </w:pPr>
      <w:r>
        <w:rPr>
          <w:rFonts w:hint="eastAsia"/>
          <w:lang w:eastAsia="zh-CN"/>
        </w:rPr>
        <w:t>项目总量控制指标：COD：</w:t>
      </w:r>
      <w:r>
        <w:rPr>
          <w:rFonts w:hint="eastAsia"/>
          <w:lang w:val="en-US" w:eastAsia="zh-CN"/>
        </w:rPr>
        <w:t>0</w:t>
      </w:r>
      <w:r>
        <w:rPr>
          <w:rFonts w:hint="eastAsia"/>
          <w:lang w:eastAsia="zh-CN"/>
        </w:rPr>
        <w:t>t/a、氨氮：0t/a、SO</w:t>
      </w:r>
      <w:r>
        <w:rPr>
          <w:rFonts w:hint="eastAsia"/>
          <w:vertAlign w:val="subscript"/>
          <w:lang w:val="en-US" w:eastAsia="zh-CN"/>
        </w:rPr>
        <w:t>2</w:t>
      </w:r>
      <w:r>
        <w:rPr>
          <w:rFonts w:hint="eastAsia"/>
          <w:lang w:eastAsia="zh-CN"/>
        </w:rPr>
        <w:t>：</w:t>
      </w:r>
      <w:r>
        <w:rPr>
          <w:rFonts w:hint="eastAsia"/>
          <w:lang w:val="en-US" w:eastAsia="zh-CN"/>
        </w:rPr>
        <w:t>0</w:t>
      </w:r>
      <w:r>
        <w:rPr>
          <w:rFonts w:hint="eastAsia"/>
          <w:lang w:eastAsia="zh-CN"/>
        </w:rPr>
        <w:t>t/a、NO：0t/a。</w:t>
      </w:r>
    </w:p>
    <w:p>
      <w:pPr>
        <w:bidi w:val="0"/>
        <w:rPr>
          <w:rFonts w:hint="eastAsia"/>
          <w:lang w:eastAsia="zh-CN"/>
        </w:rPr>
      </w:pPr>
      <w:r>
        <w:rPr>
          <w:rFonts w:hint="eastAsia"/>
          <w:lang w:eastAsia="zh-CN"/>
        </w:rPr>
        <w:t>四、本批复仅对该项目的污染防治措施和相关污染物达标排放情况进行了审查。</w:t>
      </w:r>
    </w:p>
    <w:p>
      <w:pPr>
        <w:bidi w:val="0"/>
        <w:rPr>
          <w:rFonts w:hint="eastAsia"/>
          <w:lang w:eastAsia="zh-CN"/>
        </w:rPr>
      </w:pPr>
      <w:r>
        <w:rPr>
          <w:rFonts w:hint="eastAsia"/>
          <w:lang w:eastAsia="zh-CN"/>
        </w:rPr>
        <w:t>五、项目完工后，需按规定程序和标准进行竣工环境保护验收。项目由凤泉区环境监察大队负责监管。</w:t>
      </w:r>
    </w:p>
    <w:p>
      <w:pPr>
        <w:bidi w:val="0"/>
        <w:rPr>
          <w:rFonts w:hint="eastAsia"/>
          <w:lang w:eastAsia="zh-CN"/>
        </w:rPr>
      </w:pPr>
      <w:r>
        <w:rPr>
          <w:rFonts w:hint="eastAsia"/>
          <w:lang w:eastAsia="zh-CN"/>
        </w:rPr>
        <w:t>六、本批复有效期为5年。如该项目逾期方开工建设，其环境影响报告表应报我局重新审核。</w:t>
      </w:r>
    </w:p>
    <w:p>
      <w:pPr>
        <w:bidi w:val="0"/>
        <w:rPr>
          <w:rFonts w:hint="eastAsia"/>
        </w:rPr>
      </w:pPr>
      <w:r>
        <w:rPr>
          <w:rFonts w:hint="eastAsia"/>
          <w:lang w:eastAsia="zh-CN"/>
        </w:rPr>
        <w:t>七、如果今后国家、省、市颁布严于本批复指标的新标准或技术规范，届时你公司应按新标准或技术规范要求执行。</w:t>
      </w:r>
    </w:p>
    <w:p>
      <w:pPr>
        <w:bidi w:val="0"/>
        <w:jc w:val="right"/>
        <w:rPr>
          <w:rFonts w:hint="eastAsia" w:eastAsia="宋体"/>
          <w:lang w:eastAsia="zh-CN"/>
        </w:rPr>
      </w:pPr>
      <w:r>
        <w:rPr>
          <w:rFonts w:hint="eastAsia"/>
          <w:lang w:eastAsia="zh-CN"/>
        </w:rPr>
        <w:t>新乡市生态环境局凤泉分局</w:t>
      </w:r>
    </w:p>
    <w:p>
      <w:pPr>
        <w:bidi w:val="0"/>
        <w:jc w:val="right"/>
        <w:rPr>
          <w:rFonts w:hint="eastAsia"/>
        </w:rPr>
      </w:pPr>
      <w:r>
        <w:rPr>
          <w:rFonts w:hint="eastAsia"/>
        </w:rPr>
        <w:t>202</w:t>
      </w:r>
      <w:r>
        <w:rPr>
          <w:rFonts w:hint="eastAsia"/>
          <w:lang w:val="en-US" w:eastAsia="zh-CN"/>
        </w:rPr>
        <w:t>3</w:t>
      </w:r>
      <w:r>
        <w:rPr>
          <w:rFonts w:hint="eastAsia"/>
        </w:rPr>
        <w:t>年</w:t>
      </w:r>
      <w:r>
        <w:rPr>
          <w:rFonts w:hint="eastAsia"/>
          <w:lang w:val="en-US" w:eastAsia="zh-CN"/>
        </w:rPr>
        <w:t>8</w:t>
      </w:r>
      <w:r>
        <w:rPr>
          <w:rFonts w:hint="eastAsia"/>
        </w:rPr>
        <w:t>月</w:t>
      </w:r>
      <w:r>
        <w:rPr>
          <w:rFonts w:hint="eastAsia"/>
          <w:lang w:val="en-US" w:eastAsia="zh-CN"/>
        </w:rPr>
        <w:t>22</w:t>
      </w:r>
      <w:r>
        <w:rPr>
          <w:rFonts w:hint="eastAsia"/>
        </w:rPr>
        <w:t>日</w:t>
      </w:r>
    </w:p>
    <w:p>
      <w:pPr>
        <w:pStyle w:val="2"/>
        <w:bidi w:val="0"/>
        <w:rPr>
          <w:rFonts w:hint="default"/>
        </w:rPr>
      </w:pPr>
      <w:bookmarkStart w:id="184" w:name="_Toc2110"/>
      <w:bookmarkStart w:id="185" w:name="_Toc19612"/>
      <w:r>
        <w:rPr>
          <w:rFonts w:hint="default"/>
        </w:rPr>
        <w:t>验收执行标准</w:t>
      </w:r>
      <w:bookmarkEnd w:id="179"/>
      <w:bookmarkEnd w:id="180"/>
      <w:bookmarkEnd w:id="181"/>
      <w:bookmarkEnd w:id="182"/>
      <w:bookmarkEnd w:id="183"/>
      <w:bookmarkEnd w:id="184"/>
      <w:bookmarkEnd w:id="185"/>
    </w:p>
    <w:p>
      <w:pPr>
        <w:pStyle w:val="3"/>
        <w:bidi w:val="0"/>
        <w:rPr>
          <w:rFonts w:hint="default"/>
        </w:rPr>
      </w:pPr>
      <w:bookmarkStart w:id="186" w:name="_Toc496979036"/>
      <w:bookmarkStart w:id="187" w:name="_Toc14363"/>
      <w:bookmarkStart w:id="188" w:name="_Toc2043"/>
      <w:bookmarkStart w:id="189" w:name="_Toc27190"/>
      <w:bookmarkStart w:id="190" w:name="_Toc497001475"/>
      <w:bookmarkStart w:id="191" w:name="_Toc10359"/>
      <w:bookmarkStart w:id="192" w:name="_Toc20160"/>
      <w:bookmarkStart w:id="193" w:name="_Toc9773"/>
      <w:r>
        <w:rPr>
          <w:rFonts w:hint="default"/>
        </w:rPr>
        <w:t>废气</w:t>
      </w:r>
      <w:bookmarkEnd w:id="186"/>
      <w:bookmarkEnd w:id="187"/>
      <w:bookmarkEnd w:id="188"/>
      <w:bookmarkEnd w:id="189"/>
      <w:bookmarkEnd w:id="190"/>
      <w:bookmarkEnd w:id="191"/>
      <w:bookmarkEnd w:id="192"/>
      <w:bookmarkEnd w:id="193"/>
    </w:p>
    <w:p>
      <w:pPr>
        <w:pStyle w:val="20"/>
        <w:bidi w:val="0"/>
        <w:rPr>
          <w:rFonts w:hint="default"/>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lang w:eastAsia="zh-CN"/>
        </w:rPr>
        <w:t>废气</w:t>
      </w:r>
      <w:r>
        <w:rPr>
          <w:rFonts w:hint="default"/>
        </w:rPr>
        <w:t>排放标准</w:t>
      </w:r>
    </w:p>
    <w:tbl>
      <w:tblPr>
        <w:tblStyle w:val="16"/>
        <w:tblW w:w="52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897"/>
        <w:gridCol w:w="963"/>
        <w:gridCol w:w="980"/>
        <w:gridCol w:w="28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34" w:type="pct"/>
            <w:tcBorders>
              <w:tl2br w:val="nil"/>
              <w:tr2bl w:val="nil"/>
            </w:tcBorders>
            <w:noWrap w:val="0"/>
            <w:vAlign w:val="center"/>
          </w:tcPr>
          <w:p>
            <w:pPr>
              <w:pStyle w:val="19"/>
              <w:bidi w:val="0"/>
              <w:rPr>
                <w:rFonts w:hint="eastAsia"/>
                <w:b/>
                <w:bCs w:val="0"/>
                <w:lang w:eastAsia="zh-CN"/>
              </w:rPr>
            </w:pPr>
            <w:bookmarkStart w:id="194" w:name="_Toc13071"/>
            <w:bookmarkStart w:id="195" w:name="_Toc13472"/>
            <w:bookmarkStart w:id="196" w:name="_Toc32438"/>
            <w:bookmarkStart w:id="197" w:name="_Toc497001476"/>
            <w:bookmarkStart w:id="198" w:name="_Toc18083"/>
            <w:bookmarkStart w:id="199" w:name="_Toc8678"/>
            <w:bookmarkStart w:id="200" w:name="_Toc496979037"/>
            <w:r>
              <w:rPr>
                <w:rFonts w:hint="eastAsia"/>
                <w:b/>
                <w:bCs w:val="0"/>
                <w:lang w:eastAsia="zh-CN"/>
              </w:rPr>
              <w:t>标准名称</w:t>
            </w:r>
          </w:p>
        </w:tc>
        <w:tc>
          <w:tcPr>
            <w:tcW w:w="552" w:type="pct"/>
            <w:tcBorders>
              <w:tl2br w:val="nil"/>
              <w:tr2bl w:val="nil"/>
            </w:tcBorders>
            <w:noWrap w:val="0"/>
            <w:vAlign w:val="center"/>
          </w:tcPr>
          <w:p>
            <w:pPr>
              <w:pStyle w:val="19"/>
              <w:bidi w:val="0"/>
              <w:rPr>
                <w:rFonts w:hint="eastAsia"/>
                <w:b/>
                <w:bCs w:val="0"/>
                <w:lang w:eastAsia="zh-CN"/>
              </w:rPr>
            </w:pPr>
            <w:r>
              <w:rPr>
                <w:rFonts w:hint="eastAsia"/>
                <w:b/>
                <w:bCs w:val="0"/>
                <w:lang w:eastAsia="zh-CN"/>
              </w:rPr>
              <w:t>污染因子</w:t>
            </w:r>
          </w:p>
        </w:tc>
        <w:tc>
          <w:tcPr>
            <w:tcW w:w="2212" w:type="pct"/>
            <w:gridSpan w:val="2"/>
            <w:tcBorders>
              <w:tl2br w:val="nil"/>
              <w:tr2bl w:val="nil"/>
            </w:tcBorders>
            <w:noWrap w:val="0"/>
            <w:vAlign w:val="center"/>
          </w:tcPr>
          <w:p>
            <w:pPr>
              <w:pStyle w:val="19"/>
              <w:bidi w:val="0"/>
              <w:rPr>
                <w:rFonts w:hint="eastAsia"/>
                <w:b/>
                <w:bCs w:val="0"/>
                <w:lang w:eastAsia="zh-CN"/>
              </w:rPr>
            </w:pPr>
            <w:r>
              <w:rPr>
                <w:rFonts w:hint="eastAsia"/>
                <w:b/>
                <w:bCs w:val="0"/>
                <w:lang w:eastAsia="zh-CN"/>
              </w:rPr>
              <w:t>标准限值浓度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34" w:type="pct"/>
            <w:vMerge w:val="restart"/>
            <w:tcBorders>
              <w:tl2br w:val="nil"/>
              <w:tr2bl w:val="nil"/>
            </w:tcBorders>
            <w:noWrap w:val="0"/>
            <w:vAlign w:val="center"/>
          </w:tcPr>
          <w:p>
            <w:pPr>
              <w:pStyle w:val="19"/>
              <w:bidi w:val="0"/>
              <w:rPr>
                <w:rFonts w:hint="eastAsia"/>
                <w:lang w:eastAsia="zh-CN"/>
              </w:rPr>
            </w:pPr>
            <w:r>
              <w:t>《合成树脂工业污染物排放标准》（GB 31572-2015）表5特别排放限值</w:t>
            </w:r>
          </w:p>
        </w:tc>
        <w:tc>
          <w:tcPr>
            <w:tcW w:w="552" w:type="pct"/>
            <w:vMerge w:val="restart"/>
            <w:tcBorders>
              <w:tl2br w:val="nil"/>
              <w:tr2bl w:val="nil"/>
            </w:tcBorders>
            <w:noWrap w:val="0"/>
            <w:vAlign w:val="center"/>
          </w:tcPr>
          <w:p>
            <w:pPr>
              <w:pStyle w:val="19"/>
              <w:bidi w:val="0"/>
              <w:rPr>
                <w:rFonts w:hint="eastAsia"/>
                <w:lang w:eastAsia="zh-CN"/>
              </w:rPr>
            </w:pPr>
            <w:r>
              <w:rPr>
                <w:rFonts w:hint="eastAsia"/>
                <w:lang w:val="en-US" w:eastAsia="zh-CN"/>
              </w:rPr>
              <w:t>非甲烷总烃</w:t>
            </w:r>
          </w:p>
        </w:tc>
        <w:tc>
          <w:tcPr>
            <w:tcW w:w="562" w:type="pct"/>
            <w:vMerge w:val="restart"/>
            <w:tcBorders>
              <w:tl2br w:val="nil"/>
              <w:tr2bl w:val="nil"/>
            </w:tcBorders>
            <w:noWrap w:val="0"/>
            <w:vAlign w:val="center"/>
          </w:tcPr>
          <w:p>
            <w:pPr>
              <w:pStyle w:val="19"/>
              <w:bidi w:val="0"/>
              <w:rPr>
                <w:rFonts w:hint="default"/>
                <w:lang w:val="en-US" w:eastAsia="zh-CN"/>
              </w:rPr>
            </w:pPr>
            <w:r>
              <w:rPr>
                <w:rFonts w:hint="eastAsia"/>
                <w:lang w:val="en-US" w:eastAsia="zh-CN"/>
              </w:rPr>
              <w:t>有组织</w:t>
            </w:r>
          </w:p>
        </w:tc>
        <w:tc>
          <w:tcPr>
            <w:tcW w:w="1650" w:type="pct"/>
            <w:tcBorders>
              <w:tl2br w:val="nil"/>
              <w:tr2bl w:val="nil"/>
            </w:tcBorders>
            <w:noWrap w:val="0"/>
            <w:vAlign w:val="center"/>
          </w:tcPr>
          <w:p>
            <w:pPr>
              <w:pStyle w:val="19"/>
              <w:bidi w:val="0"/>
              <w:ind w:firstLine="0" w:firstLineChars="0"/>
              <w:rPr>
                <w:rFonts w:hint="eastAsia"/>
                <w:lang w:eastAsia="zh-CN"/>
              </w:rPr>
            </w:pPr>
            <w:r>
              <w:rPr>
                <w:rFonts w:hint="eastAsia"/>
                <w:lang w:eastAsia="zh-CN"/>
              </w:rPr>
              <w:t>60mg/m</w:t>
            </w:r>
            <w:r>
              <w:rPr>
                <w:rFonts w:hint="eastAsia"/>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34" w:type="pct"/>
            <w:vMerge w:val="continue"/>
            <w:tcBorders>
              <w:tl2br w:val="nil"/>
              <w:tr2bl w:val="nil"/>
            </w:tcBorders>
            <w:noWrap w:val="0"/>
            <w:vAlign w:val="center"/>
          </w:tcPr>
          <w:p>
            <w:pPr>
              <w:pStyle w:val="19"/>
              <w:bidi w:val="0"/>
            </w:pPr>
          </w:p>
        </w:tc>
        <w:tc>
          <w:tcPr>
            <w:tcW w:w="552" w:type="pct"/>
            <w:vMerge w:val="continue"/>
            <w:tcBorders>
              <w:tl2br w:val="nil"/>
              <w:tr2bl w:val="nil"/>
            </w:tcBorders>
            <w:noWrap w:val="0"/>
            <w:vAlign w:val="center"/>
          </w:tcPr>
          <w:p>
            <w:pPr>
              <w:pStyle w:val="19"/>
              <w:bidi w:val="0"/>
              <w:rPr>
                <w:rFonts w:hint="eastAsia"/>
                <w:lang w:val="en-US" w:eastAsia="zh-CN"/>
              </w:rPr>
            </w:pPr>
          </w:p>
        </w:tc>
        <w:tc>
          <w:tcPr>
            <w:tcW w:w="562" w:type="pct"/>
            <w:vMerge w:val="continue"/>
            <w:tcBorders>
              <w:tl2br w:val="nil"/>
              <w:tr2bl w:val="nil"/>
            </w:tcBorders>
            <w:noWrap w:val="0"/>
            <w:vAlign w:val="center"/>
          </w:tcPr>
          <w:p>
            <w:pPr>
              <w:pStyle w:val="19"/>
              <w:bidi w:val="0"/>
              <w:rPr>
                <w:rFonts w:hint="eastAsia"/>
                <w:lang w:val="en-US" w:eastAsia="zh-CN"/>
              </w:rPr>
            </w:pPr>
          </w:p>
        </w:tc>
        <w:tc>
          <w:tcPr>
            <w:tcW w:w="1650" w:type="pct"/>
            <w:tcBorders>
              <w:tl2br w:val="nil"/>
              <w:tr2bl w:val="nil"/>
            </w:tcBorders>
            <w:noWrap w:val="0"/>
            <w:vAlign w:val="center"/>
          </w:tcPr>
          <w:p>
            <w:pPr>
              <w:pStyle w:val="19"/>
              <w:bidi w:val="0"/>
              <w:ind w:firstLine="0" w:firstLineChars="0"/>
              <w:rPr>
                <w:rFonts w:hint="default"/>
                <w:lang w:val="en-US" w:eastAsia="zh-CN"/>
              </w:rPr>
            </w:pPr>
            <w:r>
              <w:rPr>
                <w:rFonts w:hint="eastAsia"/>
                <w:lang w:eastAsia="zh-CN"/>
              </w:rPr>
              <w:t>单位产品非甲烷总烃</w:t>
            </w:r>
            <w:r>
              <w:rPr>
                <w:rFonts w:hint="eastAsia"/>
                <w:lang w:val="en-US" w:eastAsia="zh-CN"/>
              </w:rPr>
              <w:t>排放量（kg/t）：0.3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34" w:type="pct"/>
            <w:tcBorders>
              <w:tl2br w:val="nil"/>
              <w:tr2bl w:val="nil"/>
            </w:tcBorders>
            <w:noWrap w:val="0"/>
            <w:vAlign w:val="center"/>
          </w:tcPr>
          <w:p>
            <w:pPr>
              <w:pStyle w:val="19"/>
              <w:bidi w:val="0"/>
            </w:pPr>
            <w:r>
              <w:t>《河南省重污染天气重点行业应急减排措施制定技术指南（2021年修订版）》中</w:t>
            </w:r>
          </w:p>
        </w:tc>
        <w:tc>
          <w:tcPr>
            <w:tcW w:w="552" w:type="pct"/>
            <w:vMerge w:val="continue"/>
            <w:tcBorders>
              <w:tl2br w:val="nil"/>
              <w:tr2bl w:val="nil"/>
            </w:tcBorders>
            <w:noWrap w:val="0"/>
            <w:vAlign w:val="center"/>
          </w:tcPr>
          <w:p>
            <w:pPr>
              <w:pStyle w:val="19"/>
              <w:bidi w:val="0"/>
              <w:rPr>
                <w:rFonts w:hint="eastAsia"/>
                <w:lang w:val="en-US" w:eastAsia="zh-CN"/>
              </w:rPr>
            </w:pPr>
          </w:p>
        </w:tc>
        <w:tc>
          <w:tcPr>
            <w:tcW w:w="562" w:type="pct"/>
            <w:vMerge w:val="continue"/>
            <w:tcBorders>
              <w:tl2br w:val="nil"/>
              <w:tr2bl w:val="nil"/>
            </w:tcBorders>
            <w:noWrap w:val="0"/>
            <w:vAlign w:val="center"/>
          </w:tcPr>
          <w:p>
            <w:pPr>
              <w:pStyle w:val="19"/>
              <w:bidi w:val="0"/>
              <w:rPr>
                <w:rFonts w:hint="eastAsia"/>
                <w:lang w:val="en-US" w:eastAsia="zh-CN"/>
              </w:rPr>
            </w:pPr>
          </w:p>
        </w:tc>
        <w:tc>
          <w:tcPr>
            <w:tcW w:w="1650" w:type="pct"/>
            <w:tcBorders>
              <w:tl2br w:val="nil"/>
              <w:tr2bl w:val="nil"/>
            </w:tcBorders>
            <w:noWrap w:val="0"/>
            <w:vAlign w:val="center"/>
          </w:tcPr>
          <w:p>
            <w:pPr>
              <w:pStyle w:val="19"/>
              <w:bidi w:val="0"/>
              <w:ind w:firstLine="0" w:firstLineChars="0"/>
              <w:rPr>
                <w:rFonts w:hint="eastAsia"/>
                <w:lang w:eastAsia="zh-CN"/>
              </w:rPr>
            </w:pPr>
            <w:r>
              <w:rPr>
                <w:rFonts w:hint="eastAsia"/>
                <w:lang w:val="en-US" w:eastAsia="zh-CN"/>
              </w:rPr>
              <w:t>1</w:t>
            </w:r>
            <w:r>
              <w:rPr>
                <w:rFonts w:hint="eastAsia"/>
                <w:lang w:eastAsia="zh-CN"/>
              </w:rPr>
              <w:t>0mg/m</w:t>
            </w:r>
            <w:r>
              <w:rPr>
                <w:rFonts w:hint="eastAsia"/>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34" w:type="pct"/>
            <w:tcBorders>
              <w:tl2br w:val="nil"/>
              <w:tr2bl w:val="nil"/>
            </w:tcBorders>
            <w:noWrap w:val="0"/>
            <w:vAlign w:val="center"/>
          </w:tcPr>
          <w:p>
            <w:pPr>
              <w:pStyle w:val="19"/>
              <w:bidi w:val="0"/>
              <w:rPr>
                <w:rFonts w:hint="eastAsia"/>
                <w:lang w:eastAsia="zh-CN"/>
              </w:rPr>
            </w:pPr>
            <w:r>
              <w:rPr>
                <w:rFonts w:hint="eastAsia"/>
                <w:lang w:val="en-US" w:eastAsia="zh-CN"/>
              </w:rPr>
              <w:t>《关于全省开展工业企业挥发性有机物专项治理工作中排放建议的通知》（豫环攻坚办[2017]162号）</w:t>
            </w:r>
          </w:p>
        </w:tc>
        <w:tc>
          <w:tcPr>
            <w:tcW w:w="552" w:type="pct"/>
            <w:vMerge w:val="continue"/>
            <w:tcBorders>
              <w:tl2br w:val="nil"/>
              <w:tr2bl w:val="nil"/>
            </w:tcBorders>
            <w:noWrap w:val="0"/>
            <w:vAlign w:val="center"/>
          </w:tcPr>
          <w:p>
            <w:pPr>
              <w:pStyle w:val="19"/>
              <w:bidi w:val="0"/>
              <w:rPr>
                <w:rFonts w:hint="eastAsia"/>
                <w:lang w:eastAsia="zh-CN"/>
              </w:rPr>
            </w:pPr>
          </w:p>
        </w:tc>
        <w:tc>
          <w:tcPr>
            <w:tcW w:w="562" w:type="pct"/>
            <w:vMerge w:val="continue"/>
            <w:tcBorders>
              <w:tl2br w:val="nil"/>
              <w:tr2bl w:val="nil"/>
            </w:tcBorders>
            <w:noWrap w:val="0"/>
            <w:vAlign w:val="center"/>
          </w:tcPr>
          <w:p>
            <w:pPr>
              <w:pStyle w:val="19"/>
              <w:bidi w:val="0"/>
              <w:rPr>
                <w:rFonts w:hint="eastAsia"/>
                <w:lang w:eastAsia="zh-CN"/>
              </w:rPr>
            </w:pPr>
          </w:p>
        </w:tc>
        <w:tc>
          <w:tcPr>
            <w:tcW w:w="1650" w:type="pct"/>
            <w:tcBorders>
              <w:tl2br w:val="nil"/>
              <w:tr2bl w:val="nil"/>
            </w:tcBorders>
            <w:noWrap w:val="0"/>
            <w:vAlign w:val="center"/>
          </w:tcPr>
          <w:p>
            <w:pPr>
              <w:pStyle w:val="19"/>
              <w:bidi w:val="0"/>
              <w:ind w:firstLine="0" w:firstLineChars="0"/>
              <w:rPr>
                <w:rFonts w:hint="default"/>
                <w:lang w:val="en-US" w:eastAsia="zh-CN"/>
              </w:rPr>
            </w:pPr>
            <w:r>
              <w:rPr>
                <w:rFonts w:hint="eastAsia"/>
                <w:lang w:val="en-US" w:eastAsia="zh-CN"/>
              </w:rPr>
              <w:t>建议去除效率70%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34" w:type="pct"/>
            <w:tcBorders>
              <w:tl2br w:val="nil"/>
              <w:tr2bl w:val="nil"/>
            </w:tcBorders>
            <w:noWrap w:val="0"/>
            <w:vAlign w:val="center"/>
          </w:tcPr>
          <w:p>
            <w:pPr>
              <w:pStyle w:val="19"/>
              <w:bidi w:val="0"/>
              <w:rPr>
                <w:rFonts w:hint="eastAsia"/>
                <w:lang w:val="en-US" w:eastAsia="zh-CN"/>
              </w:rPr>
            </w:pPr>
            <w:r>
              <w:rPr>
                <w:rFonts w:hint="eastAsia"/>
                <w:lang w:val="en-US" w:eastAsia="zh-CN"/>
              </w:rPr>
              <w:t>《关于全省开展工业企业挥发性有机物专项治理工作中排放建议的通知》（豫环攻坚办[2017]162号）</w:t>
            </w:r>
          </w:p>
        </w:tc>
        <w:tc>
          <w:tcPr>
            <w:tcW w:w="552" w:type="pct"/>
            <w:vMerge w:val="continue"/>
            <w:tcBorders>
              <w:tl2br w:val="nil"/>
              <w:tr2bl w:val="nil"/>
            </w:tcBorders>
            <w:noWrap w:val="0"/>
            <w:vAlign w:val="center"/>
          </w:tcPr>
          <w:p>
            <w:pPr>
              <w:pStyle w:val="19"/>
              <w:bidi w:val="0"/>
              <w:rPr>
                <w:rFonts w:hint="eastAsia"/>
                <w:lang w:eastAsia="zh-CN"/>
              </w:rPr>
            </w:pPr>
          </w:p>
        </w:tc>
        <w:tc>
          <w:tcPr>
            <w:tcW w:w="562" w:type="pct"/>
            <w:tcBorders>
              <w:tl2br w:val="nil"/>
              <w:tr2bl w:val="nil"/>
            </w:tcBorders>
            <w:noWrap w:val="0"/>
            <w:vAlign w:val="center"/>
          </w:tcPr>
          <w:p>
            <w:pPr>
              <w:pStyle w:val="19"/>
              <w:bidi w:val="0"/>
              <w:rPr>
                <w:rFonts w:hint="eastAsia"/>
                <w:lang w:eastAsia="zh-CN"/>
              </w:rPr>
            </w:pPr>
            <w:r>
              <w:rPr>
                <w:rFonts w:hint="eastAsia"/>
                <w:lang w:eastAsia="zh-CN"/>
              </w:rPr>
              <w:t>无组织</w:t>
            </w:r>
          </w:p>
        </w:tc>
        <w:tc>
          <w:tcPr>
            <w:tcW w:w="1650" w:type="pct"/>
            <w:tcBorders>
              <w:tl2br w:val="nil"/>
              <w:tr2bl w:val="nil"/>
            </w:tcBorders>
            <w:noWrap w:val="0"/>
            <w:vAlign w:val="center"/>
          </w:tcPr>
          <w:p>
            <w:pPr>
              <w:pStyle w:val="19"/>
              <w:bidi w:val="0"/>
              <w:rPr>
                <w:rFonts w:hint="eastAsia"/>
                <w:lang w:eastAsia="zh-CN"/>
              </w:rPr>
            </w:pPr>
            <w:r>
              <w:rPr>
                <w:rFonts w:hint="eastAsia"/>
                <w:lang w:val="en-US" w:eastAsia="zh-CN"/>
              </w:rPr>
              <w:t>2.0</w:t>
            </w:r>
            <w:r>
              <w:rPr>
                <w:rFonts w:hint="eastAsia"/>
                <w:lang w:eastAsia="zh-CN"/>
              </w:rPr>
              <w:t>mg/</w:t>
            </w:r>
            <w:r>
              <w:t>m</w:t>
            </w:r>
            <w:r>
              <w:rPr>
                <w:vertAlign w:val="superscript"/>
              </w:rPr>
              <w:t>3</w:t>
            </w:r>
          </w:p>
        </w:tc>
      </w:tr>
    </w:tbl>
    <w:p>
      <w:pPr>
        <w:pStyle w:val="3"/>
        <w:bidi w:val="0"/>
        <w:rPr>
          <w:rFonts w:hint="default"/>
        </w:rPr>
      </w:pPr>
      <w:bookmarkStart w:id="201" w:name="_Toc10126"/>
      <w:r>
        <w:rPr>
          <w:rFonts w:hint="default"/>
        </w:rPr>
        <w:t>噪声</w:t>
      </w:r>
      <w:bookmarkEnd w:id="194"/>
      <w:bookmarkEnd w:id="195"/>
      <w:bookmarkEnd w:id="196"/>
      <w:bookmarkEnd w:id="197"/>
      <w:bookmarkEnd w:id="198"/>
      <w:bookmarkEnd w:id="199"/>
      <w:bookmarkEnd w:id="200"/>
      <w:bookmarkEnd w:id="201"/>
    </w:p>
    <w:p>
      <w:pPr>
        <w:bidi w:val="0"/>
        <w:rPr>
          <w:rFonts w:hint="eastAsia"/>
          <w:lang w:eastAsia="zh-CN"/>
        </w:rPr>
      </w:pPr>
      <w:r>
        <w:rPr>
          <w:rFonts w:hint="eastAsia"/>
          <w:lang w:val="en-US" w:eastAsia="zh-CN"/>
        </w:rPr>
        <w:t>本</w:t>
      </w:r>
      <w:r>
        <w:rPr>
          <w:rFonts w:hint="default"/>
        </w:rPr>
        <w:t>项目运营期噪声执行《工业企业厂界环境噪声排放标准》（GB12348-2008）</w:t>
      </w:r>
      <w:r>
        <w:rPr>
          <w:rFonts w:hint="eastAsia"/>
          <w:lang w:val="en-US" w:eastAsia="zh-CN"/>
        </w:rPr>
        <w:t>2</w:t>
      </w:r>
      <w:r>
        <w:rPr>
          <w:rFonts w:hint="default"/>
        </w:rPr>
        <w:t>类标准，标准值见</w:t>
      </w:r>
      <w:r>
        <w:rPr>
          <w:rFonts w:hint="eastAsia"/>
          <w:lang w:val="en-US" w:eastAsia="zh-CN"/>
        </w:rPr>
        <w:t>下表</w:t>
      </w:r>
      <w:r>
        <w:rPr>
          <w:rFonts w:hint="eastAsia"/>
          <w:lang w:eastAsia="zh-CN"/>
        </w:rPr>
        <w:t>：</w:t>
      </w:r>
    </w:p>
    <w:p>
      <w:pPr>
        <w:pStyle w:val="20"/>
        <w:bidi w:val="0"/>
        <w:rPr>
          <w:rFonts w:hint="default"/>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rPr>
        <w:t>厂界噪声排放标准</w:t>
      </w:r>
      <w:r>
        <w:rPr>
          <w:rFonts w:hint="default"/>
          <w:lang w:val="en-US" w:eastAsia="zh-CN"/>
        </w:rPr>
        <w:t xml:space="preserve">     </w:t>
      </w:r>
      <w:r>
        <w:rPr>
          <w:rFonts w:hint="default"/>
        </w:rPr>
        <w:t>单位：dB（A）</w:t>
      </w:r>
    </w:p>
    <w:tbl>
      <w:tblPr>
        <w:tblStyle w:val="16"/>
        <w:tblW w:w="82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215"/>
        <w:gridCol w:w="1065"/>
        <w:gridCol w:w="1098"/>
        <w:gridCol w:w="3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7" w:type="dxa"/>
            <w:vMerge w:val="restart"/>
            <w:tcBorders>
              <w:tl2br w:val="nil"/>
              <w:tr2bl w:val="nil"/>
            </w:tcBorders>
            <w:noWrap w:val="0"/>
            <w:vAlign w:val="center"/>
          </w:tcPr>
          <w:p>
            <w:pPr>
              <w:pStyle w:val="19"/>
              <w:bidi w:val="0"/>
              <w:rPr>
                <w:rFonts w:hint="default"/>
                <w:b/>
                <w:bCs w:val="0"/>
                <w:lang w:val="en-US" w:eastAsia="zh-CN"/>
              </w:rPr>
            </w:pPr>
            <w:bookmarkStart w:id="202" w:name="_Toc497001477"/>
            <w:bookmarkStart w:id="203" w:name="_Toc496979038"/>
            <w:r>
              <w:rPr>
                <w:rFonts w:hint="default"/>
                <w:b/>
                <w:bCs w:val="0"/>
                <w:lang w:val="en-US" w:eastAsia="zh-CN"/>
              </w:rPr>
              <w:t>时期</w:t>
            </w:r>
          </w:p>
        </w:tc>
        <w:tc>
          <w:tcPr>
            <w:tcW w:w="1215" w:type="dxa"/>
            <w:vMerge w:val="restart"/>
            <w:tcBorders>
              <w:tl2br w:val="nil"/>
              <w:tr2bl w:val="nil"/>
            </w:tcBorders>
            <w:noWrap w:val="0"/>
            <w:vAlign w:val="center"/>
          </w:tcPr>
          <w:p>
            <w:pPr>
              <w:pStyle w:val="19"/>
              <w:bidi w:val="0"/>
              <w:rPr>
                <w:rFonts w:hint="default"/>
                <w:b/>
                <w:bCs w:val="0"/>
                <w:lang w:val="en-US" w:eastAsia="zh-CN"/>
              </w:rPr>
            </w:pPr>
            <w:r>
              <w:rPr>
                <w:rFonts w:hint="default"/>
                <w:b/>
                <w:bCs w:val="0"/>
                <w:lang w:val="en-US" w:eastAsia="zh-CN"/>
              </w:rPr>
              <w:t>方位</w:t>
            </w:r>
          </w:p>
        </w:tc>
        <w:tc>
          <w:tcPr>
            <w:tcW w:w="2163" w:type="dxa"/>
            <w:gridSpan w:val="2"/>
            <w:tcBorders>
              <w:tl2br w:val="nil"/>
              <w:tr2bl w:val="nil"/>
            </w:tcBorders>
            <w:noWrap w:val="0"/>
            <w:vAlign w:val="center"/>
          </w:tcPr>
          <w:p>
            <w:pPr>
              <w:pStyle w:val="19"/>
              <w:bidi w:val="0"/>
              <w:rPr>
                <w:rFonts w:hint="default"/>
                <w:b/>
                <w:bCs w:val="0"/>
                <w:lang w:val="en-US" w:eastAsia="zh-CN"/>
              </w:rPr>
            </w:pPr>
            <w:r>
              <w:rPr>
                <w:rFonts w:hint="default"/>
                <w:b/>
                <w:bCs w:val="0"/>
                <w:lang w:val="en-US" w:eastAsia="zh-CN"/>
              </w:rPr>
              <w:t>标准限值</w:t>
            </w:r>
          </w:p>
        </w:tc>
        <w:tc>
          <w:tcPr>
            <w:tcW w:w="3920" w:type="dxa"/>
            <w:vMerge w:val="restart"/>
            <w:tcBorders>
              <w:tl2br w:val="nil"/>
              <w:tr2bl w:val="nil"/>
            </w:tcBorders>
            <w:noWrap w:val="0"/>
            <w:vAlign w:val="center"/>
          </w:tcPr>
          <w:p>
            <w:pPr>
              <w:pStyle w:val="19"/>
              <w:bidi w:val="0"/>
              <w:rPr>
                <w:rFonts w:hint="default"/>
                <w:b/>
                <w:bCs w:val="0"/>
                <w:lang w:val="en-US" w:eastAsia="zh-CN"/>
              </w:rPr>
            </w:pPr>
            <w:r>
              <w:rPr>
                <w:rFonts w:hint="default"/>
                <w:b/>
                <w:bCs w:val="0"/>
                <w:lang w:val="en-US" w:eastAsia="zh-CN"/>
              </w:rPr>
              <w:t>标准名称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87" w:type="dxa"/>
            <w:vMerge w:val="continue"/>
            <w:tcBorders>
              <w:tl2br w:val="nil"/>
              <w:tr2bl w:val="nil"/>
            </w:tcBorders>
            <w:noWrap w:val="0"/>
            <w:vAlign w:val="center"/>
          </w:tcPr>
          <w:p>
            <w:pPr>
              <w:pStyle w:val="19"/>
              <w:bidi w:val="0"/>
              <w:rPr>
                <w:rFonts w:hint="default"/>
                <w:lang w:val="en-US" w:eastAsia="zh-CN"/>
              </w:rPr>
            </w:pPr>
          </w:p>
        </w:tc>
        <w:tc>
          <w:tcPr>
            <w:tcW w:w="1215" w:type="dxa"/>
            <w:vMerge w:val="continue"/>
            <w:tcBorders>
              <w:tl2br w:val="nil"/>
              <w:tr2bl w:val="nil"/>
            </w:tcBorders>
            <w:noWrap w:val="0"/>
            <w:vAlign w:val="center"/>
          </w:tcPr>
          <w:p>
            <w:pPr>
              <w:pStyle w:val="19"/>
              <w:bidi w:val="0"/>
              <w:rPr>
                <w:rFonts w:hint="default"/>
                <w:lang w:val="en-US" w:eastAsia="zh-CN"/>
              </w:rPr>
            </w:pPr>
          </w:p>
        </w:tc>
        <w:tc>
          <w:tcPr>
            <w:tcW w:w="1065" w:type="dxa"/>
            <w:tcBorders>
              <w:tl2br w:val="nil"/>
              <w:tr2bl w:val="nil"/>
            </w:tcBorders>
            <w:noWrap w:val="0"/>
            <w:vAlign w:val="center"/>
          </w:tcPr>
          <w:p>
            <w:pPr>
              <w:pStyle w:val="19"/>
              <w:bidi w:val="0"/>
              <w:rPr>
                <w:rFonts w:hint="default"/>
                <w:b/>
                <w:bCs w:val="0"/>
                <w:lang w:val="en-US" w:eastAsia="zh-CN"/>
              </w:rPr>
            </w:pPr>
            <w:r>
              <w:rPr>
                <w:rFonts w:hint="default"/>
                <w:b/>
                <w:bCs w:val="0"/>
                <w:lang w:val="en-US" w:eastAsia="zh-CN"/>
              </w:rPr>
              <w:t>昼间</w:t>
            </w:r>
          </w:p>
        </w:tc>
        <w:tc>
          <w:tcPr>
            <w:tcW w:w="1098" w:type="dxa"/>
            <w:tcBorders>
              <w:tl2br w:val="nil"/>
              <w:tr2bl w:val="nil"/>
            </w:tcBorders>
            <w:noWrap w:val="0"/>
            <w:vAlign w:val="center"/>
          </w:tcPr>
          <w:p>
            <w:pPr>
              <w:pStyle w:val="19"/>
              <w:bidi w:val="0"/>
              <w:rPr>
                <w:rFonts w:hint="default"/>
                <w:b/>
                <w:bCs w:val="0"/>
                <w:lang w:val="en-US" w:eastAsia="zh-CN"/>
              </w:rPr>
            </w:pPr>
            <w:r>
              <w:rPr>
                <w:rFonts w:hint="default"/>
                <w:b/>
                <w:bCs w:val="0"/>
                <w:lang w:val="en-US" w:eastAsia="zh-CN"/>
              </w:rPr>
              <w:t>夜间</w:t>
            </w:r>
          </w:p>
        </w:tc>
        <w:tc>
          <w:tcPr>
            <w:tcW w:w="3920" w:type="dxa"/>
            <w:vMerge w:val="continue"/>
            <w:tcBorders>
              <w:tl2br w:val="nil"/>
              <w:tr2bl w:val="nil"/>
            </w:tcBorders>
            <w:noWrap w:val="0"/>
            <w:vAlign w:val="center"/>
          </w:tcPr>
          <w:p>
            <w:pPr>
              <w:pStyle w:val="19"/>
              <w:bidi w:val="0"/>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87" w:type="dxa"/>
            <w:tcBorders>
              <w:tl2br w:val="nil"/>
              <w:tr2bl w:val="nil"/>
            </w:tcBorders>
            <w:noWrap w:val="0"/>
            <w:vAlign w:val="center"/>
          </w:tcPr>
          <w:p>
            <w:pPr>
              <w:pStyle w:val="19"/>
              <w:bidi w:val="0"/>
              <w:rPr>
                <w:rFonts w:hint="default"/>
                <w:lang w:val="en-US" w:eastAsia="zh-CN"/>
              </w:rPr>
            </w:pPr>
            <w:r>
              <w:rPr>
                <w:rFonts w:hint="default"/>
                <w:lang w:val="en-US" w:eastAsia="zh-CN"/>
              </w:rPr>
              <w:t>运营期</w:t>
            </w:r>
          </w:p>
        </w:tc>
        <w:tc>
          <w:tcPr>
            <w:tcW w:w="1215" w:type="dxa"/>
            <w:tcBorders>
              <w:tl2br w:val="nil"/>
              <w:tr2bl w:val="nil"/>
            </w:tcBorders>
            <w:noWrap w:val="0"/>
            <w:vAlign w:val="center"/>
          </w:tcPr>
          <w:p>
            <w:pPr>
              <w:pStyle w:val="19"/>
              <w:bidi w:val="0"/>
              <w:rPr>
                <w:rFonts w:hint="default"/>
                <w:lang w:val="en-US" w:eastAsia="zh-CN"/>
              </w:rPr>
            </w:pPr>
            <w:r>
              <w:rPr>
                <w:rFonts w:hint="default"/>
                <w:lang w:val="en-US" w:eastAsia="zh-CN"/>
              </w:rPr>
              <w:t>厂界四周</w:t>
            </w:r>
          </w:p>
        </w:tc>
        <w:tc>
          <w:tcPr>
            <w:tcW w:w="1065" w:type="dxa"/>
            <w:tcBorders>
              <w:tl2br w:val="nil"/>
              <w:tr2bl w:val="nil"/>
            </w:tcBorders>
            <w:noWrap w:val="0"/>
            <w:vAlign w:val="center"/>
          </w:tcPr>
          <w:p>
            <w:pPr>
              <w:pStyle w:val="19"/>
              <w:bidi w:val="0"/>
              <w:rPr>
                <w:rFonts w:hint="default"/>
                <w:lang w:val="en-US" w:eastAsia="zh-CN"/>
              </w:rPr>
            </w:pPr>
            <w:r>
              <w:rPr>
                <w:rFonts w:hint="default"/>
                <w:lang w:val="en-US" w:eastAsia="zh-CN"/>
              </w:rPr>
              <w:t>6</w:t>
            </w:r>
            <w:r>
              <w:rPr>
                <w:rFonts w:hint="eastAsia"/>
                <w:lang w:val="en-US" w:eastAsia="zh-CN"/>
              </w:rPr>
              <w:t>0</w:t>
            </w:r>
          </w:p>
        </w:tc>
        <w:tc>
          <w:tcPr>
            <w:tcW w:w="1098" w:type="dxa"/>
            <w:tcBorders>
              <w:tl2br w:val="nil"/>
              <w:tr2bl w:val="nil"/>
            </w:tcBorders>
            <w:noWrap w:val="0"/>
            <w:vAlign w:val="center"/>
          </w:tcPr>
          <w:p>
            <w:pPr>
              <w:pStyle w:val="19"/>
              <w:bidi w:val="0"/>
              <w:rPr>
                <w:rFonts w:hint="default"/>
                <w:lang w:val="en-US" w:eastAsia="zh-CN"/>
              </w:rPr>
            </w:pPr>
            <w:r>
              <w:rPr>
                <w:rFonts w:hint="default"/>
                <w:lang w:val="en-US" w:eastAsia="zh-CN"/>
              </w:rPr>
              <w:t>5</w:t>
            </w:r>
            <w:r>
              <w:rPr>
                <w:rFonts w:hint="eastAsia"/>
                <w:lang w:val="en-US" w:eastAsia="zh-CN"/>
              </w:rPr>
              <w:t>0</w:t>
            </w:r>
          </w:p>
        </w:tc>
        <w:tc>
          <w:tcPr>
            <w:tcW w:w="3920" w:type="dxa"/>
            <w:tcBorders>
              <w:tl2br w:val="nil"/>
              <w:tr2bl w:val="nil"/>
            </w:tcBorders>
            <w:noWrap w:val="0"/>
            <w:vAlign w:val="center"/>
          </w:tcPr>
          <w:p>
            <w:pPr>
              <w:pStyle w:val="19"/>
              <w:bidi w:val="0"/>
              <w:rPr>
                <w:rFonts w:hint="default"/>
                <w:lang w:val="en-US" w:eastAsia="zh-CN"/>
              </w:rPr>
            </w:pPr>
            <w:r>
              <w:rPr>
                <w:rFonts w:hint="default"/>
                <w:lang w:val="en-US" w:eastAsia="zh-CN"/>
              </w:rPr>
              <w:t>《工业企业厂界环境噪声排放标准》</w:t>
            </w:r>
          </w:p>
          <w:p>
            <w:pPr>
              <w:pStyle w:val="19"/>
              <w:bidi w:val="0"/>
              <w:rPr>
                <w:rFonts w:hint="default"/>
                <w:lang w:val="en-US" w:eastAsia="zh-CN"/>
              </w:rPr>
            </w:pPr>
            <w:r>
              <w:rPr>
                <w:rFonts w:hint="default"/>
                <w:lang w:val="en-US" w:eastAsia="zh-CN"/>
              </w:rPr>
              <w:t>(GB12348-2008)</w:t>
            </w:r>
            <w:r>
              <w:rPr>
                <w:rFonts w:hint="eastAsia"/>
                <w:lang w:val="en-US" w:eastAsia="zh-CN"/>
              </w:rPr>
              <w:t>2</w:t>
            </w:r>
            <w:r>
              <w:rPr>
                <w:rFonts w:hint="default"/>
                <w:lang w:val="en-US" w:eastAsia="zh-CN"/>
              </w:rPr>
              <w:t>类</w:t>
            </w:r>
          </w:p>
        </w:tc>
      </w:tr>
    </w:tbl>
    <w:p>
      <w:pPr>
        <w:pStyle w:val="3"/>
        <w:bidi w:val="0"/>
        <w:rPr>
          <w:rFonts w:hint="default"/>
        </w:rPr>
      </w:pPr>
      <w:bookmarkStart w:id="204" w:name="_Toc18048"/>
      <w:bookmarkStart w:id="205" w:name="_Toc19831"/>
      <w:bookmarkStart w:id="206" w:name="_Toc9250"/>
      <w:bookmarkStart w:id="207" w:name="_Toc30614"/>
      <w:bookmarkStart w:id="208" w:name="_Toc8975"/>
      <w:bookmarkStart w:id="209" w:name="_Toc10018"/>
      <w:r>
        <w:rPr>
          <w:rFonts w:hint="default"/>
        </w:rPr>
        <w:t>固体废物</w:t>
      </w:r>
      <w:bookmarkEnd w:id="202"/>
      <w:bookmarkEnd w:id="203"/>
      <w:bookmarkEnd w:id="204"/>
      <w:bookmarkEnd w:id="205"/>
      <w:bookmarkEnd w:id="206"/>
      <w:bookmarkEnd w:id="207"/>
      <w:bookmarkEnd w:id="208"/>
      <w:bookmarkEnd w:id="209"/>
    </w:p>
    <w:p>
      <w:pPr>
        <w:bidi w:val="0"/>
        <w:rPr>
          <w:rFonts w:hint="eastAsia" w:ascii="Times New Roman" w:hAnsi="Times New Roman" w:eastAsia="宋体" w:cs="Times New Roman"/>
          <w:b w:val="0"/>
          <w:bCs/>
          <w:szCs w:val="28"/>
          <w:highlight w:val="none"/>
          <w:lang w:eastAsia="zh-CN"/>
        </w:rPr>
      </w:pPr>
      <w:bookmarkStart w:id="210" w:name="_Toc497001478"/>
      <w:r>
        <w:rPr>
          <w:rFonts w:hint="default"/>
          <w:lang w:eastAsia="zh-CN"/>
        </w:rPr>
        <w:t>固体废物</w:t>
      </w:r>
      <w:r>
        <w:rPr>
          <w:rFonts w:hint="default"/>
          <w:lang w:val="en-US" w:eastAsia="zh-CN"/>
        </w:rPr>
        <w:t>执行《一般工业固体废物贮存和填埋污染控制标准》（GB18599-2020）的防渗漏、防雨淋、防扬尘的要求；《危险废物贮存污染控制标准》(GB18597-2023)</w:t>
      </w:r>
      <w:r>
        <w:rPr>
          <w:rFonts w:hint="eastAsia"/>
          <w:lang w:eastAsia="zh-CN"/>
        </w:rPr>
        <w:t>。</w:t>
      </w:r>
    </w:p>
    <w:bookmarkEnd w:id="210"/>
    <w:p>
      <w:pPr>
        <w:pStyle w:val="2"/>
        <w:bidi w:val="0"/>
        <w:rPr>
          <w:rFonts w:hint="default"/>
        </w:rPr>
      </w:pPr>
      <w:bookmarkStart w:id="211" w:name="_Toc12276"/>
      <w:bookmarkStart w:id="212" w:name="_Toc28609"/>
      <w:bookmarkStart w:id="213" w:name="_Toc14931"/>
      <w:bookmarkStart w:id="214" w:name="_Toc9500"/>
      <w:bookmarkStart w:id="215" w:name="_Toc8710"/>
      <w:bookmarkStart w:id="216" w:name="_Toc21357"/>
      <w:bookmarkStart w:id="217" w:name="_Toc497001479"/>
      <w:r>
        <w:rPr>
          <w:rFonts w:hint="default"/>
        </w:rPr>
        <w:t>验收</w:t>
      </w:r>
      <w:r>
        <w:rPr>
          <w:rFonts w:hint="default"/>
          <w:lang w:eastAsia="zh-CN"/>
        </w:rPr>
        <w:t>监测</w:t>
      </w:r>
      <w:r>
        <w:rPr>
          <w:rFonts w:hint="default"/>
        </w:rPr>
        <w:t>内容</w:t>
      </w:r>
      <w:bookmarkEnd w:id="211"/>
      <w:bookmarkEnd w:id="212"/>
      <w:bookmarkEnd w:id="213"/>
      <w:bookmarkEnd w:id="214"/>
      <w:bookmarkEnd w:id="215"/>
      <w:bookmarkEnd w:id="216"/>
    </w:p>
    <w:p>
      <w:pPr>
        <w:pStyle w:val="3"/>
        <w:bidi w:val="0"/>
        <w:rPr>
          <w:rFonts w:hint="default"/>
          <w:lang w:val="en-US" w:eastAsia="zh-CN"/>
        </w:rPr>
      </w:pPr>
      <w:bookmarkStart w:id="218" w:name="_Toc5219"/>
      <w:bookmarkStart w:id="219" w:name="_Toc14984"/>
      <w:bookmarkStart w:id="220" w:name="_Toc20910"/>
      <w:bookmarkStart w:id="221" w:name="_Toc11393"/>
      <w:bookmarkStart w:id="222" w:name="_Toc6805"/>
      <w:bookmarkStart w:id="223" w:name="_Toc27363"/>
      <w:r>
        <w:rPr>
          <w:rFonts w:hint="default"/>
          <w:lang w:val="en-US" w:eastAsia="zh-CN"/>
        </w:rPr>
        <w:t>环境保护设施调试</w:t>
      </w:r>
      <w:r>
        <w:rPr>
          <w:rFonts w:hint="eastAsia"/>
          <w:lang w:val="en-US" w:eastAsia="zh-CN"/>
        </w:rPr>
        <w:t>运行</w:t>
      </w:r>
      <w:r>
        <w:rPr>
          <w:rFonts w:hint="default"/>
          <w:lang w:val="en-US" w:eastAsia="zh-CN"/>
        </w:rPr>
        <w:t>效果</w:t>
      </w:r>
      <w:bookmarkEnd w:id="218"/>
      <w:bookmarkEnd w:id="219"/>
      <w:bookmarkEnd w:id="220"/>
      <w:bookmarkEnd w:id="221"/>
      <w:bookmarkEnd w:id="222"/>
      <w:bookmarkEnd w:id="223"/>
    </w:p>
    <w:p>
      <w:pPr>
        <w:bidi w:val="0"/>
        <w:rPr>
          <w:rFonts w:hint="default"/>
          <w:lang w:val="en-US" w:eastAsia="zh-CN"/>
        </w:rPr>
      </w:pPr>
      <w:r>
        <w:rPr>
          <w:rFonts w:hint="default"/>
          <w:lang w:val="en-US" w:eastAsia="zh-CN"/>
        </w:rPr>
        <w:t>通过对各类污染物达标排放及各类污染治理设施去除效率的监测，来说明环境保护设施调试效果，具体监测内容如下：</w:t>
      </w:r>
    </w:p>
    <w:p>
      <w:pPr>
        <w:pStyle w:val="4"/>
        <w:bidi w:val="0"/>
        <w:rPr>
          <w:rFonts w:hint="default"/>
          <w:lang w:val="en-US" w:eastAsia="zh-CN"/>
        </w:rPr>
      </w:pPr>
      <w:bookmarkStart w:id="224" w:name="_Toc9268"/>
      <w:bookmarkStart w:id="225" w:name="_Toc11929"/>
      <w:bookmarkStart w:id="226" w:name="_Toc19548"/>
      <w:bookmarkStart w:id="227" w:name="_Toc16110"/>
      <w:bookmarkStart w:id="228" w:name="_Toc2441"/>
      <w:bookmarkStart w:id="229" w:name="_Toc14128"/>
      <w:r>
        <w:rPr>
          <w:rFonts w:hint="default"/>
          <w:lang w:val="en-US" w:eastAsia="zh-CN"/>
        </w:rPr>
        <w:t>废气</w:t>
      </w:r>
      <w:bookmarkEnd w:id="224"/>
      <w:bookmarkEnd w:id="225"/>
      <w:bookmarkEnd w:id="226"/>
      <w:bookmarkEnd w:id="227"/>
      <w:bookmarkEnd w:id="228"/>
      <w:bookmarkEnd w:id="229"/>
    </w:p>
    <w:p>
      <w:pPr>
        <w:bidi w:val="0"/>
        <w:rPr>
          <w:rFonts w:hint="default"/>
        </w:rPr>
      </w:pPr>
      <w:r>
        <w:rPr>
          <w:rFonts w:hint="default"/>
        </w:rPr>
        <w:t>废气</w:t>
      </w:r>
      <w:r>
        <w:rPr>
          <w:rFonts w:hint="default"/>
          <w:lang w:eastAsia="zh-CN"/>
        </w:rPr>
        <w:t>监测为有组织和无</w:t>
      </w:r>
      <w:r>
        <w:rPr>
          <w:rFonts w:hint="default"/>
        </w:rPr>
        <w:t>组织废气</w:t>
      </w:r>
      <w:r>
        <w:rPr>
          <w:rFonts w:hint="default"/>
          <w:lang w:eastAsia="zh-CN"/>
        </w:rPr>
        <w:t>监测</w:t>
      </w:r>
      <w:r>
        <w:rPr>
          <w:rFonts w:hint="default"/>
        </w:rPr>
        <w:t>，</w:t>
      </w:r>
      <w:r>
        <w:rPr>
          <w:rFonts w:hint="default"/>
          <w:lang w:eastAsia="zh-CN"/>
        </w:rPr>
        <w:t>监测</w:t>
      </w:r>
      <w:r>
        <w:rPr>
          <w:rFonts w:hint="default"/>
        </w:rPr>
        <w:t>内容详见</w:t>
      </w:r>
      <w:r>
        <w:rPr>
          <w:rFonts w:hint="eastAsia"/>
          <w:lang w:val="en-US" w:eastAsia="zh-CN"/>
        </w:rPr>
        <w:t>下</w:t>
      </w:r>
      <w:r>
        <w:rPr>
          <w:rFonts w:hint="default"/>
        </w:rPr>
        <w:t>表</w:t>
      </w:r>
      <w:r>
        <w:rPr>
          <w:rFonts w:hint="default"/>
          <w:lang w:val="en-US" w:eastAsia="zh-CN"/>
        </w:rPr>
        <w:t>。</w:t>
      </w:r>
    </w:p>
    <w:p>
      <w:pPr>
        <w:pStyle w:val="20"/>
        <w:bidi w:val="0"/>
        <w:rPr>
          <w:rFonts w:hint="default"/>
        </w:rPr>
      </w:pPr>
      <w:r>
        <w:rPr>
          <w:rFonts w:hint="default"/>
        </w:rPr>
        <w:t xml:space="preserve">  </w:t>
      </w:r>
      <w:r>
        <w:rPr>
          <w:rFonts w:hint="eastAsia"/>
          <w:lang w:val="en-US" w:eastAsia="zh-CN"/>
        </w:rPr>
        <w:t xml:space="preserve">               </w:t>
      </w:r>
      <w:r>
        <w:rPr>
          <w:rFonts w:hint="default"/>
        </w:rPr>
        <w:t xml:space="preserve"> 废气</w:t>
      </w:r>
      <w:r>
        <w:rPr>
          <w:rFonts w:hint="default"/>
          <w:lang w:eastAsia="zh-CN"/>
        </w:rPr>
        <w:t>监测</w:t>
      </w:r>
      <w:r>
        <w:rPr>
          <w:rFonts w:hint="default"/>
        </w:rPr>
        <w:t>内容一览表</w:t>
      </w:r>
    </w:p>
    <w:tbl>
      <w:tblPr>
        <w:tblStyle w:val="16"/>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3373"/>
        <w:gridCol w:w="2275"/>
        <w:gridCol w:w="14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5"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检测类别</w:t>
            </w:r>
          </w:p>
        </w:tc>
        <w:tc>
          <w:tcPr>
            <w:tcW w:w="3373"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采样点位</w:t>
            </w:r>
          </w:p>
        </w:tc>
        <w:tc>
          <w:tcPr>
            <w:tcW w:w="2275"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检测项目</w:t>
            </w:r>
          </w:p>
        </w:tc>
        <w:tc>
          <w:tcPr>
            <w:tcW w:w="1488"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检测频次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5" w:type="dxa"/>
            <w:tcBorders>
              <w:tl2br w:val="nil"/>
              <w:tr2bl w:val="nil"/>
            </w:tcBorders>
            <w:vAlign w:val="center"/>
          </w:tcPr>
          <w:p>
            <w:pPr>
              <w:pStyle w:val="19"/>
              <w:bidi w:val="0"/>
              <w:rPr>
                <w:rFonts w:hint="default"/>
                <w:lang w:val="en-US" w:eastAsia="zh-CN"/>
              </w:rPr>
            </w:pPr>
            <w:r>
              <w:rPr>
                <w:rFonts w:hint="default"/>
                <w:lang w:val="en-US" w:eastAsia="zh-CN"/>
              </w:rPr>
              <w:t>有组织废气</w:t>
            </w:r>
          </w:p>
        </w:tc>
        <w:tc>
          <w:tcPr>
            <w:tcW w:w="3373" w:type="dxa"/>
            <w:tcBorders>
              <w:tl2br w:val="nil"/>
              <w:tr2bl w:val="nil"/>
            </w:tcBorders>
            <w:vAlign w:val="center"/>
          </w:tcPr>
          <w:p>
            <w:pPr>
              <w:pStyle w:val="19"/>
              <w:bidi w:val="0"/>
              <w:rPr>
                <w:rFonts w:hint="default"/>
                <w:lang w:val="en-US" w:eastAsia="zh-CN"/>
              </w:rPr>
            </w:pPr>
            <w:r>
              <w:rPr>
                <w:rFonts w:hint="eastAsia"/>
                <w:lang w:val="en-US" w:eastAsia="zh-CN"/>
              </w:rPr>
              <w:t>活性炭吸附/脱附-催化燃烧装置进出口</w:t>
            </w:r>
          </w:p>
        </w:tc>
        <w:tc>
          <w:tcPr>
            <w:tcW w:w="2275" w:type="dxa"/>
            <w:tcBorders>
              <w:tl2br w:val="nil"/>
              <w:tr2bl w:val="nil"/>
            </w:tcBorders>
            <w:vAlign w:val="center"/>
          </w:tcPr>
          <w:p>
            <w:pPr>
              <w:pStyle w:val="19"/>
              <w:bidi w:val="0"/>
              <w:rPr>
                <w:rFonts w:hint="default"/>
                <w:lang w:val="en-US" w:eastAsia="zh-CN"/>
              </w:rPr>
            </w:pPr>
            <w:r>
              <w:rPr>
                <w:rFonts w:hint="default"/>
                <w:lang w:val="en-US" w:eastAsia="zh-CN"/>
              </w:rPr>
              <w:t>废气量</w:t>
            </w:r>
            <w:r>
              <w:rPr>
                <w:rFonts w:hint="eastAsia"/>
                <w:lang w:val="en-US" w:eastAsia="zh-CN"/>
              </w:rPr>
              <w:t>，非甲烷总烃</w:t>
            </w:r>
            <w:r>
              <w:rPr>
                <w:rFonts w:hint="default"/>
                <w:lang w:val="en-US" w:eastAsia="zh-CN"/>
              </w:rPr>
              <w:t>排放浓度及排放速率</w:t>
            </w:r>
          </w:p>
        </w:tc>
        <w:tc>
          <w:tcPr>
            <w:tcW w:w="1488" w:type="dxa"/>
            <w:tcBorders>
              <w:tl2br w:val="nil"/>
              <w:tr2bl w:val="nil"/>
            </w:tcBorders>
            <w:vAlign w:val="center"/>
          </w:tcPr>
          <w:p>
            <w:pPr>
              <w:pStyle w:val="19"/>
              <w:bidi w:val="0"/>
              <w:rPr>
                <w:rFonts w:hint="default"/>
                <w:lang w:val="en-US" w:eastAsia="zh-CN"/>
              </w:rPr>
            </w:pPr>
            <w:r>
              <w:rPr>
                <w:rFonts w:hint="eastAsia"/>
              </w:rPr>
              <w:t>3次/周期</w:t>
            </w:r>
            <w:r>
              <w:rPr>
                <w:rFonts w:hint="eastAsia"/>
                <w:lang w:eastAsia="zh-CN"/>
              </w:rPr>
              <w:t>，</w:t>
            </w:r>
            <w:r>
              <w:rPr>
                <w:rFonts w:hint="eastAsia"/>
              </w:rPr>
              <w:t>2周期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15" w:type="dxa"/>
            <w:tcBorders>
              <w:tl2br w:val="nil"/>
              <w:tr2bl w:val="nil"/>
            </w:tcBorders>
            <w:vAlign w:val="center"/>
          </w:tcPr>
          <w:p>
            <w:pPr>
              <w:pStyle w:val="19"/>
              <w:bidi w:val="0"/>
              <w:rPr>
                <w:rFonts w:hint="default"/>
                <w:lang w:val="en-US" w:eastAsia="zh-CN"/>
              </w:rPr>
            </w:pPr>
            <w:r>
              <w:rPr>
                <w:rFonts w:hint="default"/>
                <w:lang w:val="en-US" w:eastAsia="zh-CN"/>
              </w:rPr>
              <w:t>无组织废气</w:t>
            </w:r>
          </w:p>
        </w:tc>
        <w:tc>
          <w:tcPr>
            <w:tcW w:w="3373" w:type="dxa"/>
            <w:tcBorders>
              <w:tl2br w:val="nil"/>
              <w:tr2bl w:val="nil"/>
            </w:tcBorders>
            <w:vAlign w:val="center"/>
          </w:tcPr>
          <w:p>
            <w:pPr>
              <w:pStyle w:val="19"/>
              <w:bidi w:val="0"/>
              <w:rPr>
                <w:rFonts w:hint="default"/>
                <w:lang w:val="en-US" w:eastAsia="zh-CN"/>
              </w:rPr>
            </w:pPr>
            <w:r>
              <w:rPr>
                <w:rFonts w:hint="default"/>
                <w:lang w:val="en-US" w:eastAsia="zh-CN"/>
              </w:rPr>
              <w:t>上风向1#，下风向2#、3#、4#</w:t>
            </w:r>
          </w:p>
        </w:tc>
        <w:tc>
          <w:tcPr>
            <w:tcW w:w="2275" w:type="dxa"/>
            <w:tcBorders>
              <w:tl2br w:val="nil"/>
              <w:tr2bl w:val="nil"/>
            </w:tcBorders>
            <w:vAlign w:val="center"/>
          </w:tcPr>
          <w:p>
            <w:pPr>
              <w:pStyle w:val="19"/>
              <w:bidi w:val="0"/>
              <w:rPr>
                <w:rFonts w:hint="default"/>
                <w:lang w:val="en-US" w:eastAsia="zh-CN"/>
              </w:rPr>
            </w:pPr>
            <w:r>
              <w:rPr>
                <w:rFonts w:hint="eastAsia"/>
                <w:lang w:val="en-US" w:eastAsia="zh-CN"/>
              </w:rPr>
              <w:t>非甲烷总烃</w:t>
            </w:r>
          </w:p>
        </w:tc>
        <w:tc>
          <w:tcPr>
            <w:tcW w:w="1488" w:type="dxa"/>
            <w:tcBorders>
              <w:tl2br w:val="nil"/>
              <w:tr2bl w:val="nil"/>
            </w:tcBorders>
            <w:vAlign w:val="center"/>
          </w:tcPr>
          <w:p>
            <w:pPr>
              <w:pStyle w:val="19"/>
              <w:bidi w:val="0"/>
              <w:rPr>
                <w:rFonts w:hint="default"/>
                <w:lang w:val="en-US" w:eastAsia="zh-CN"/>
              </w:rPr>
            </w:pPr>
            <w:r>
              <w:rPr>
                <w:rFonts w:hint="eastAsia"/>
                <w:lang w:val="en-US" w:eastAsia="zh-CN"/>
              </w:rPr>
              <w:t>4</w:t>
            </w:r>
            <w:r>
              <w:rPr>
                <w:rFonts w:hint="eastAsia"/>
              </w:rPr>
              <w:t>次/周期</w:t>
            </w:r>
            <w:r>
              <w:rPr>
                <w:rFonts w:hint="eastAsia"/>
                <w:lang w:eastAsia="zh-CN"/>
              </w:rPr>
              <w:t>，</w:t>
            </w:r>
            <w:r>
              <w:rPr>
                <w:rFonts w:hint="eastAsia"/>
              </w:rPr>
              <w:t>2周期</w:t>
            </w:r>
          </w:p>
        </w:tc>
      </w:tr>
    </w:tbl>
    <w:p>
      <w:pPr>
        <w:pStyle w:val="4"/>
        <w:bidi w:val="0"/>
        <w:rPr>
          <w:rFonts w:hint="default"/>
          <w:lang w:val="en-US" w:eastAsia="zh-CN"/>
        </w:rPr>
      </w:pPr>
      <w:bookmarkStart w:id="230" w:name="_Toc13748"/>
      <w:bookmarkStart w:id="231" w:name="_Toc14011"/>
      <w:bookmarkStart w:id="232" w:name="_Toc30789"/>
      <w:bookmarkStart w:id="233" w:name="_Toc10693"/>
      <w:bookmarkStart w:id="234" w:name="_Toc7558"/>
      <w:bookmarkStart w:id="235" w:name="_Toc9008"/>
      <w:r>
        <w:rPr>
          <w:rFonts w:hint="default"/>
          <w:lang w:val="en-US" w:eastAsia="zh-CN"/>
        </w:rPr>
        <w:t>厂界噪声</w:t>
      </w:r>
      <w:bookmarkEnd w:id="230"/>
      <w:bookmarkEnd w:id="231"/>
      <w:bookmarkEnd w:id="232"/>
      <w:bookmarkEnd w:id="233"/>
      <w:bookmarkEnd w:id="234"/>
      <w:bookmarkEnd w:id="235"/>
    </w:p>
    <w:p>
      <w:pPr>
        <w:bidi w:val="0"/>
        <w:rPr>
          <w:rFonts w:hint="default"/>
        </w:rPr>
      </w:pPr>
      <w:r>
        <w:rPr>
          <w:rFonts w:hint="default"/>
        </w:rPr>
        <w:t>厂界噪声</w:t>
      </w:r>
      <w:r>
        <w:rPr>
          <w:rFonts w:hint="default"/>
          <w:lang w:eastAsia="zh-CN"/>
        </w:rPr>
        <w:t>监测</w:t>
      </w:r>
      <w:r>
        <w:rPr>
          <w:rFonts w:hint="default"/>
        </w:rPr>
        <w:t>内容见</w:t>
      </w:r>
      <w:r>
        <w:rPr>
          <w:rFonts w:hint="eastAsia"/>
          <w:lang w:val="en-US" w:eastAsia="zh-CN"/>
        </w:rPr>
        <w:t>下</w:t>
      </w:r>
      <w:r>
        <w:rPr>
          <w:rFonts w:hint="default"/>
        </w:rPr>
        <w:t>表。</w:t>
      </w:r>
    </w:p>
    <w:p>
      <w:pPr>
        <w:pStyle w:val="20"/>
        <w:bidi w:val="0"/>
        <w:rPr>
          <w:rFonts w:hint="default"/>
        </w:rPr>
      </w:pPr>
      <w:r>
        <w:rPr>
          <w:rFonts w:hint="default"/>
        </w:rPr>
        <w:t xml:space="preserve">   </w:t>
      </w:r>
      <w:r>
        <w:rPr>
          <w:rFonts w:hint="eastAsia"/>
          <w:lang w:val="en-US" w:eastAsia="zh-CN"/>
        </w:rPr>
        <w:t xml:space="preserve">              </w:t>
      </w:r>
      <w:r>
        <w:rPr>
          <w:rFonts w:hint="default"/>
        </w:rPr>
        <w:t>厂界噪声</w:t>
      </w:r>
      <w:r>
        <w:rPr>
          <w:rFonts w:hint="default"/>
          <w:lang w:eastAsia="zh-CN"/>
        </w:rPr>
        <w:t>监测</w:t>
      </w:r>
      <w:r>
        <w:rPr>
          <w:rFonts w:hint="default"/>
        </w:rPr>
        <w:t>内容</w:t>
      </w:r>
    </w:p>
    <w:tbl>
      <w:tblPr>
        <w:tblStyle w:val="16"/>
        <w:tblW w:w="833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9"/>
        <w:gridCol w:w="2292"/>
        <w:gridCol w:w="3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9"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监测点位</w:t>
            </w:r>
          </w:p>
        </w:tc>
        <w:tc>
          <w:tcPr>
            <w:tcW w:w="2292"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检测项目</w:t>
            </w:r>
          </w:p>
        </w:tc>
        <w:tc>
          <w:tcPr>
            <w:tcW w:w="3231"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09" w:type="dxa"/>
            <w:tcBorders>
              <w:tl2br w:val="nil"/>
              <w:tr2bl w:val="nil"/>
            </w:tcBorders>
            <w:vAlign w:val="center"/>
          </w:tcPr>
          <w:p>
            <w:pPr>
              <w:pStyle w:val="19"/>
              <w:bidi w:val="0"/>
              <w:rPr>
                <w:rFonts w:hint="default"/>
                <w:lang w:val="en-US" w:eastAsia="zh-CN"/>
              </w:rPr>
            </w:pPr>
            <w:r>
              <w:rPr>
                <w:rFonts w:hint="default"/>
                <w:lang w:val="en-US" w:eastAsia="zh-CN"/>
              </w:rPr>
              <w:t>东</w:t>
            </w:r>
            <w:r>
              <w:rPr>
                <w:rFonts w:hint="eastAsia"/>
                <w:lang w:val="en-US" w:eastAsia="zh-CN"/>
              </w:rPr>
              <w:t>、西</w:t>
            </w:r>
            <w:r>
              <w:rPr>
                <w:rFonts w:hint="default"/>
                <w:lang w:val="en-US" w:eastAsia="zh-CN"/>
              </w:rPr>
              <w:t>、南、北厂界</w:t>
            </w:r>
          </w:p>
        </w:tc>
        <w:tc>
          <w:tcPr>
            <w:tcW w:w="2292" w:type="dxa"/>
            <w:tcBorders>
              <w:tl2br w:val="nil"/>
              <w:tr2bl w:val="nil"/>
            </w:tcBorders>
            <w:vAlign w:val="center"/>
          </w:tcPr>
          <w:p>
            <w:pPr>
              <w:pStyle w:val="19"/>
              <w:bidi w:val="0"/>
              <w:rPr>
                <w:rFonts w:hint="default"/>
                <w:lang w:val="en-US" w:eastAsia="zh-CN"/>
              </w:rPr>
            </w:pPr>
            <w:r>
              <w:rPr>
                <w:rFonts w:hint="default"/>
                <w:lang w:val="en-US" w:eastAsia="zh-CN"/>
              </w:rPr>
              <w:t>等效连续A声级</w:t>
            </w:r>
          </w:p>
        </w:tc>
        <w:tc>
          <w:tcPr>
            <w:tcW w:w="3231" w:type="dxa"/>
            <w:tcBorders>
              <w:tl2br w:val="nil"/>
              <w:tr2bl w:val="nil"/>
            </w:tcBorders>
            <w:vAlign w:val="center"/>
          </w:tcPr>
          <w:p>
            <w:pPr>
              <w:pStyle w:val="19"/>
              <w:bidi w:val="0"/>
              <w:rPr>
                <w:rFonts w:hint="default"/>
                <w:lang w:val="en-US" w:eastAsia="zh-CN"/>
              </w:rPr>
            </w:pPr>
            <w:r>
              <w:rPr>
                <w:rFonts w:hint="default"/>
                <w:lang w:val="en-US" w:eastAsia="zh-CN"/>
              </w:rPr>
              <w:t>昼夜各一次，连续检测2天</w:t>
            </w:r>
          </w:p>
        </w:tc>
      </w:tr>
      <w:bookmarkEnd w:id="217"/>
    </w:tbl>
    <w:p>
      <w:pPr>
        <w:bidi w:val="0"/>
        <w:rPr>
          <w:rFonts w:hint="default"/>
          <w:lang w:val="en-US" w:eastAsia="zh-CN"/>
        </w:rPr>
      </w:pPr>
      <w:bookmarkStart w:id="236" w:name="_Toc31504"/>
      <w:bookmarkStart w:id="237" w:name="_Toc3991"/>
      <w:bookmarkStart w:id="238" w:name="_Toc24254"/>
      <w:bookmarkStart w:id="239" w:name="_Toc29281"/>
      <w:bookmarkStart w:id="240" w:name="_Toc14972"/>
      <w:r>
        <w:rPr>
          <w:rFonts w:hint="eastAsia"/>
          <w:lang w:val="en-US" w:eastAsia="zh-CN"/>
        </w:rPr>
        <w:t>监测点位图如下：</w:t>
      </w:r>
    </w:p>
    <w:p>
      <w:pPr>
        <w:pStyle w:val="21"/>
        <w:bidi w:val="0"/>
      </w:pPr>
      <w:r>
        <w:drawing>
          <wp:inline distT="0" distB="0" distL="114300" distR="114300">
            <wp:extent cx="4059555" cy="3955415"/>
            <wp:effectExtent l="0" t="0" r="17145"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4059555" cy="3955415"/>
                    </a:xfrm>
                    <a:prstGeom prst="rect">
                      <a:avLst/>
                    </a:prstGeom>
                    <a:noFill/>
                    <a:ln>
                      <a:noFill/>
                    </a:ln>
                  </pic:spPr>
                </pic:pic>
              </a:graphicData>
            </a:graphic>
          </wp:inline>
        </w:drawing>
      </w:r>
    </w:p>
    <w:p>
      <w:pPr>
        <w:pStyle w:val="24"/>
        <w:bidi w:val="0"/>
        <w:rPr>
          <w:rFonts w:hint="default"/>
          <w:lang w:val="en-US" w:eastAsia="zh-CN"/>
        </w:rPr>
      </w:pPr>
      <w:r>
        <w:rPr>
          <w:rFonts w:hint="eastAsia"/>
          <w:lang w:val="en-US" w:eastAsia="zh-CN"/>
        </w:rPr>
        <w:t xml:space="preserve">  验收监测点位图</w:t>
      </w:r>
    </w:p>
    <w:p>
      <w:pPr>
        <w:pStyle w:val="2"/>
        <w:bidi w:val="0"/>
        <w:rPr>
          <w:rFonts w:hint="default"/>
        </w:rPr>
      </w:pPr>
      <w:bookmarkStart w:id="241" w:name="_Toc4521"/>
      <w:r>
        <w:rPr>
          <w:rFonts w:hint="default"/>
        </w:rPr>
        <w:t>质量保证及质量控制</w:t>
      </w:r>
      <w:bookmarkEnd w:id="236"/>
      <w:bookmarkEnd w:id="237"/>
      <w:bookmarkEnd w:id="238"/>
      <w:bookmarkEnd w:id="239"/>
      <w:bookmarkEnd w:id="240"/>
      <w:bookmarkEnd w:id="241"/>
    </w:p>
    <w:p>
      <w:pPr>
        <w:bidi w:val="0"/>
        <w:rPr>
          <w:rFonts w:hint="eastAsia"/>
        </w:rPr>
      </w:pPr>
      <w:bookmarkStart w:id="242" w:name="_Toc497001481"/>
      <w:r>
        <w:rPr>
          <w:rFonts w:hint="eastAsia"/>
        </w:rPr>
        <w:t>1.检测分析方法采用国家有关部门颁布的标准（或推荐）分析方法，检测人员经考试合格后持证上岗，所有检测仪器经计量部门检定合格并在有效期内。</w:t>
      </w:r>
    </w:p>
    <w:p>
      <w:pPr>
        <w:bidi w:val="0"/>
        <w:rPr>
          <w:rFonts w:hint="eastAsia"/>
        </w:rPr>
      </w:pPr>
      <w:r>
        <w:rPr>
          <w:rFonts w:hint="eastAsia"/>
        </w:rPr>
        <w:t>2.分析采样前进行流量、仪器校准等质控措施。现场采样合理布设检测点位，保证各采样点布设的科学性和可比性。</w:t>
      </w:r>
    </w:p>
    <w:p>
      <w:pPr>
        <w:bidi w:val="0"/>
        <w:rPr>
          <w:rFonts w:hint="eastAsia"/>
        </w:rPr>
      </w:pPr>
      <w:r>
        <w:rPr>
          <w:rFonts w:hint="eastAsia"/>
        </w:rPr>
        <w:t>3.样品交接与分析过程严格按照监测技术规范进行。</w:t>
      </w:r>
    </w:p>
    <w:p>
      <w:pPr>
        <w:bidi w:val="0"/>
        <w:rPr>
          <w:rFonts w:hint="eastAsia"/>
          <w:lang w:val="en-US" w:eastAsia="zh-CN"/>
        </w:rPr>
      </w:pPr>
      <w:r>
        <w:rPr>
          <w:rFonts w:hint="eastAsia"/>
        </w:rPr>
        <w:t>4.检测数据严格执行三级审核制度</w:t>
      </w:r>
      <w:r>
        <w:rPr>
          <w:rFonts w:hint="eastAsia"/>
          <w:lang w:val="en-US" w:eastAsia="zh-CN"/>
        </w:rPr>
        <w:t>。</w:t>
      </w:r>
    </w:p>
    <w:p>
      <w:pPr>
        <w:pStyle w:val="3"/>
        <w:bidi w:val="0"/>
        <w:rPr>
          <w:rFonts w:hint="default"/>
        </w:rPr>
      </w:pPr>
      <w:bookmarkStart w:id="243" w:name="_Toc17549"/>
      <w:bookmarkStart w:id="244" w:name="_Toc25343"/>
      <w:bookmarkStart w:id="245" w:name="_Toc16491"/>
      <w:bookmarkStart w:id="246" w:name="_Toc28870"/>
      <w:bookmarkStart w:id="247" w:name="_Toc3278"/>
      <w:bookmarkStart w:id="248" w:name="_Toc32579"/>
      <w:r>
        <w:rPr>
          <w:rFonts w:hint="eastAsia"/>
          <w:lang w:val="en-US" w:eastAsia="zh-CN"/>
        </w:rPr>
        <w:t>检测仪器及</w:t>
      </w:r>
      <w:r>
        <w:rPr>
          <w:rFonts w:hint="default"/>
        </w:rPr>
        <w:t>分析方法</w:t>
      </w:r>
      <w:bookmarkEnd w:id="242"/>
      <w:bookmarkEnd w:id="243"/>
      <w:bookmarkEnd w:id="244"/>
      <w:bookmarkEnd w:id="245"/>
      <w:bookmarkEnd w:id="246"/>
      <w:bookmarkEnd w:id="247"/>
      <w:bookmarkEnd w:id="248"/>
    </w:p>
    <w:p>
      <w:pPr>
        <w:bidi w:val="0"/>
        <w:rPr>
          <w:rFonts w:hint="eastAsia" w:eastAsia="宋体"/>
          <w:color w:val="auto"/>
          <w:lang w:eastAsia="zh-CN"/>
        </w:rPr>
      </w:pPr>
      <w:r>
        <w:rPr>
          <w:rFonts w:hint="default"/>
          <w:color w:val="auto"/>
          <w:lang w:val="en-US" w:eastAsia="zh-CN"/>
        </w:rPr>
        <w:t>本项目污染物监测内容主要为废气和噪声监测，监测</w:t>
      </w:r>
      <w:r>
        <w:rPr>
          <w:rFonts w:hint="eastAsia"/>
          <w:color w:val="auto"/>
          <w:lang w:val="en-US" w:eastAsia="zh-CN"/>
        </w:rPr>
        <w:t>仪器及分析</w:t>
      </w:r>
      <w:r>
        <w:rPr>
          <w:rFonts w:hint="default"/>
          <w:color w:val="auto"/>
          <w:lang w:val="en-US" w:eastAsia="zh-CN"/>
        </w:rPr>
        <w:t>方法见</w:t>
      </w:r>
      <w:r>
        <w:rPr>
          <w:rFonts w:hint="eastAsia"/>
          <w:color w:val="auto"/>
          <w:lang w:val="en-US" w:eastAsia="zh-CN"/>
        </w:rPr>
        <w:t>下</w:t>
      </w:r>
      <w:r>
        <w:rPr>
          <w:rFonts w:hint="default"/>
          <w:color w:val="auto"/>
        </w:rPr>
        <w:t>表</w:t>
      </w:r>
      <w:r>
        <w:rPr>
          <w:rFonts w:hint="eastAsia"/>
          <w:color w:val="auto"/>
          <w:lang w:eastAsia="zh-CN"/>
        </w:rPr>
        <w:t>：</w:t>
      </w:r>
    </w:p>
    <w:p>
      <w:pPr>
        <w:pStyle w:val="20"/>
        <w:bidi w:val="0"/>
        <w:rPr>
          <w:rFonts w:hint="default"/>
        </w:rPr>
      </w:pPr>
      <w:r>
        <w:rPr>
          <w:rFonts w:hint="default"/>
          <w:lang w:val="en-US" w:eastAsia="zh-CN"/>
        </w:rPr>
        <w:t xml:space="preserve">       </w:t>
      </w:r>
      <w:r>
        <w:rPr>
          <w:rFonts w:hint="eastAsia"/>
          <w:lang w:val="en-US" w:eastAsia="zh-CN"/>
        </w:rPr>
        <w:t xml:space="preserve">      </w:t>
      </w:r>
      <w:r>
        <w:rPr>
          <w:rFonts w:hint="default"/>
        </w:rPr>
        <w:t xml:space="preserve"> 污染物</w:t>
      </w:r>
      <w:r>
        <w:rPr>
          <w:rFonts w:hint="default"/>
          <w:lang w:eastAsia="zh-CN"/>
        </w:rPr>
        <w:t>监测</w:t>
      </w:r>
      <w:r>
        <w:rPr>
          <w:rFonts w:hint="default"/>
        </w:rPr>
        <w:t>项目分析方法</w:t>
      </w:r>
    </w:p>
    <w:tbl>
      <w:tblPr>
        <w:tblStyle w:val="22"/>
        <w:tblW w:w="862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11"/>
        <w:gridCol w:w="955"/>
        <w:gridCol w:w="3050"/>
        <w:gridCol w:w="2626"/>
        <w:gridCol w:w="11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1" w:type="dxa"/>
            <w:tcBorders>
              <w:tl2br w:val="nil"/>
              <w:tr2bl w:val="nil"/>
            </w:tcBorders>
            <w:vAlign w:val="center"/>
          </w:tcPr>
          <w:p>
            <w:pPr>
              <w:pStyle w:val="19"/>
              <w:bidi w:val="0"/>
              <w:rPr>
                <w:b/>
                <w:bCs w:val="0"/>
              </w:rPr>
            </w:pPr>
            <w:r>
              <w:rPr>
                <w:b/>
                <w:bCs w:val="0"/>
              </w:rPr>
              <w:t>检测</w:t>
            </w:r>
          </w:p>
          <w:p>
            <w:pPr>
              <w:pStyle w:val="19"/>
              <w:bidi w:val="0"/>
              <w:rPr>
                <w:b/>
                <w:bCs w:val="0"/>
              </w:rPr>
            </w:pPr>
            <w:r>
              <w:rPr>
                <w:b/>
                <w:bCs w:val="0"/>
              </w:rPr>
              <w:t>类别</w:t>
            </w:r>
          </w:p>
        </w:tc>
        <w:tc>
          <w:tcPr>
            <w:tcW w:w="955" w:type="dxa"/>
            <w:tcBorders>
              <w:tl2br w:val="nil"/>
              <w:tr2bl w:val="nil"/>
            </w:tcBorders>
            <w:vAlign w:val="center"/>
          </w:tcPr>
          <w:p>
            <w:pPr>
              <w:pStyle w:val="19"/>
              <w:bidi w:val="0"/>
              <w:rPr>
                <w:b/>
                <w:bCs w:val="0"/>
              </w:rPr>
            </w:pPr>
            <w:r>
              <w:rPr>
                <w:b/>
                <w:bCs w:val="0"/>
              </w:rPr>
              <w:t>项目</w:t>
            </w:r>
          </w:p>
        </w:tc>
        <w:tc>
          <w:tcPr>
            <w:tcW w:w="3050" w:type="dxa"/>
            <w:tcBorders>
              <w:tl2br w:val="nil"/>
              <w:tr2bl w:val="nil"/>
            </w:tcBorders>
            <w:vAlign w:val="center"/>
          </w:tcPr>
          <w:p>
            <w:pPr>
              <w:pStyle w:val="19"/>
              <w:bidi w:val="0"/>
              <w:rPr>
                <w:b/>
                <w:bCs w:val="0"/>
              </w:rPr>
            </w:pPr>
            <w:r>
              <w:rPr>
                <w:b/>
                <w:bCs w:val="0"/>
              </w:rPr>
              <w:t>检测分析方法名称及来源</w:t>
            </w:r>
          </w:p>
        </w:tc>
        <w:tc>
          <w:tcPr>
            <w:tcW w:w="2626" w:type="dxa"/>
            <w:tcBorders>
              <w:tl2br w:val="nil"/>
              <w:tr2bl w:val="nil"/>
            </w:tcBorders>
            <w:vAlign w:val="center"/>
          </w:tcPr>
          <w:p>
            <w:pPr>
              <w:pStyle w:val="19"/>
              <w:bidi w:val="0"/>
              <w:rPr>
                <w:b w:val="0"/>
                <w:bCs/>
              </w:rPr>
            </w:pPr>
            <w:r>
              <w:rPr>
                <w:b w:val="0"/>
                <w:bCs/>
              </w:rPr>
              <w:t>检测分析仪器及型号</w:t>
            </w:r>
          </w:p>
        </w:tc>
        <w:tc>
          <w:tcPr>
            <w:tcW w:w="1180" w:type="dxa"/>
            <w:tcBorders>
              <w:tl2br w:val="nil"/>
              <w:tr2bl w:val="nil"/>
            </w:tcBorders>
            <w:vAlign w:val="center"/>
          </w:tcPr>
          <w:p>
            <w:pPr>
              <w:pStyle w:val="19"/>
              <w:bidi w:val="0"/>
              <w:rPr>
                <w:b w:val="0"/>
                <w:bCs/>
              </w:rPr>
            </w:pPr>
            <w:r>
              <w:rPr>
                <w:b w:val="0"/>
                <w:bCs/>
              </w:rPr>
              <w:t>检出限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1" w:type="dxa"/>
            <w:tcBorders>
              <w:tl2br w:val="nil"/>
              <w:tr2bl w:val="nil"/>
            </w:tcBorders>
            <w:vAlign w:val="center"/>
          </w:tcPr>
          <w:p>
            <w:pPr>
              <w:pStyle w:val="19"/>
              <w:bidi w:val="0"/>
            </w:pPr>
            <w:r>
              <w:t>有组织废气</w:t>
            </w:r>
          </w:p>
        </w:tc>
        <w:tc>
          <w:tcPr>
            <w:tcW w:w="955" w:type="dxa"/>
            <w:tcBorders>
              <w:tl2br w:val="nil"/>
              <w:tr2bl w:val="nil"/>
            </w:tcBorders>
            <w:vAlign w:val="center"/>
          </w:tcPr>
          <w:p>
            <w:pPr>
              <w:pStyle w:val="19"/>
              <w:bidi w:val="0"/>
              <w:rPr>
                <w:rFonts w:hint="default" w:eastAsia="宋体"/>
                <w:lang w:val="en-US" w:eastAsia="zh-CN"/>
              </w:rPr>
            </w:pPr>
            <w:r>
              <w:rPr>
                <w:rFonts w:hint="eastAsia"/>
                <w:lang w:val="en-US" w:eastAsia="zh-CN"/>
              </w:rPr>
              <w:t>非甲烷总烃</w:t>
            </w:r>
          </w:p>
        </w:tc>
        <w:tc>
          <w:tcPr>
            <w:tcW w:w="3050" w:type="dxa"/>
            <w:tcBorders>
              <w:tl2br w:val="nil"/>
              <w:tr2bl w:val="nil"/>
            </w:tcBorders>
            <w:vAlign w:val="center"/>
          </w:tcPr>
          <w:p>
            <w:pPr>
              <w:pStyle w:val="19"/>
              <w:bidi w:val="0"/>
            </w:pPr>
            <w:r>
              <w:rPr>
                <w:rFonts w:hint="eastAsia"/>
              </w:rPr>
              <w:t>固定污染源废气 总烃、甲烷和非甲烷总烃的测定气相色谱法 HJ 38- 2017</w:t>
            </w:r>
          </w:p>
        </w:tc>
        <w:tc>
          <w:tcPr>
            <w:tcW w:w="2626" w:type="dxa"/>
            <w:tcBorders>
              <w:tl2br w:val="nil"/>
              <w:tr2bl w:val="nil"/>
            </w:tcBorders>
            <w:vAlign w:val="center"/>
          </w:tcPr>
          <w:p>
            <w:pPr>
              <w:pStyle w:val="19"/>
              <w:bidi w:val="0"/>
            </w:pPr>
            <w:r>
              <w:rPr>
                <w:rFonts w:hint="eastAsia"/>
              </w:rPr>
              <w:t>GR3100D 型低浓度烟尘（气）测试仪、真空气袋采样器 INU-2100、GC3900 型气相色谱仪</w:t>
            </w:r>
          </w:p>
        </w:tc>
        <w:tc>
          <w:tcPr>
            <w:tcW w:w="1180" w:type="dxa"/>
            <w:tcBorders>
              <w:tl2br w:val="nil"/>
              <w:tr2bl w:val="nil"/>
            </w:tcBorders>
            <w:vAlign w:val="center"/>
          </w:tcPr>
          <w:p>
            <w:pPr>
              <w:pStyle w:val="19"/>
              <w:bidi w:val="0"/>
              <w:rPr>
                <w:rFonts w:hint="eastAsia"/>
                <w:vertAlign w:val="superscript"/>
              </w:rPr>
            </w:pPr>
            <w:r>
              <w:rPr>
                <w:rFonts w:hint="eastAsia"/>
              </w:rPr>
              <w:t>0.07mg/m</w:t>
            </w:r>
            <w:r>
              <w:rPr>
                <w:rFonts w:hint="eastAsia"/>
                <w:vertAlign w:val="superscript"/>
              </w:rPr>
              <w:t>3</w:t>
            </w:r>
          </w:p>
          <w:p>
            <w:pPr>
              <w:pStyle w:val="19"/>
              <w:bidi w:val="0"/>
            </w:pPr>
            <w:r>
              <w:rPr>
                <w:rFonts w:hint="eastAsia"/>
              </w:rPr>
              <w:t>(以碳计)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1" w:type="dxa"/>
            <w:tcBorders>
              <w:tl2br w:val="nil"/>
              <w:tr2bl w:val="nil"/>
            </w:tcBorders>
            <w:vAlign w:val="center"/>
          </w:tcPr>
          <w:p>
            <w:pPr>
              <w:pStyle w:val="19"/>
              <w:bidi w:val="0"/>
            </w:pPr>
            <w:r>
              <w:t>无组织废气</w:t>
            </w:r>
          </w:p>
        </w:tc>
        <w:tc>
          <w:tcPr>
            <w:tcW w:w="955" w:type="dxa"/>
            <w:tcBorders>
              <w:tl2br w:val="nil"/>
              <w:tr2bl w:val="nil"/>
            </w:tcBorders>
            <w:vAlign w:val="center"/>
          </w:tcPr>
          <w:p>
            <w:pPr>
              <w:pStyle w:val="19"/>
              <w:bidi w:val="0"/>
            </w:pPr>
            <w:r>
              <w:rPr>
                <w:rFonts w:hint="eastAsia"/>
                <w:lang w:val="en-US" w:eastAsia="zh-CN"/>
              </w:rPr>
              <w:t>非甲烷总烃</w:t>
            </w:r>
          </w:p>
        </w:tc>
        <w:tc>
          <w:tcPr>
            <w:tcW w:w="3050" w:type="dxa"/>
            <w:tcBorders>
              <w:tl2br w:val="nil"/>
              <w:tr2bl w:val="nil"/>
            </w:tcBorders>
            <w:vAlign w:val="center"/>
          </w:tcPr>
          <w:p>
            <w:pPr>
              <w:pStyle w:val="19"/>
              <w:bidi w:val="0"/>
              <w:jc w:val="center"/>
            </w:pPr>
            <w:r>
              <w:rPr>
                <w:rFonts w:hint="eastAsia"/>
              </w:rPr>
              <w:t>环境空气总烃、甲烷和非甲烷总烃的测定直接进样-气相色谱法HJ604-2017</w:t>
            </w:r>
          </w:p>
        </w:tc>
        <w:tc>
          <w:tcPr>
            <w:tcW w:w="2626" w:type="dxa"/>
            <w:tcBorders>
              <w:tl2br w:val="nil"/>
              <w:tr2bl w:val="nil"/>
            </w:tcBorders>
            <w:vAlign w:val="center"/>
          </w:tcPr>
          <w:p>
            <w:pPr>
              <w:pStyle w:val="19"/>
              <w:bidi w:val="0"/>
              <w:jc w:val="center"/>
            </w:pPr>
            <w:r>
              <w:rPr>
                <w:rFonts w:hint="eastAsia"/>
              </w:rPr>
              <w:t>真空气袋采样器INU-2100、GC3900型气相色谱仪</w:t>
            </w:r>
          </w:p>
        </w:tc>
        <w:tc>
          <w:tcPr>
            <w:tcW w:w="1180" w:type="dxa"/>
            <w:tcBorders>
              <w:tl2br w:val="nil"/>
              <w:tr2bl w:val="nil"/>
            </w:tcBorders>
            <w:vAlign w:val="center"/>
          </w:tcPr>
          <w:p>
            <w:pPr>
              <w:pStyle w:val="19"/>
              <w:bidi w:val="0"/>
              <w:rPr>
                <w:rFonts w:hint="eastAsia"/>
                <w:vertAlign w:val="superscript"/>
              </w:rPr>
            </w:pPr>
            <w:r>
              <w:rPr>
                <w:rFonts w:hint="eastAsia"/>
              </w:rPr>
              <w:t>0.07mg/m</w:t>
            </w:r>
            <w:r>
              <w:rPr>
                <w:rFonts w:hint="eastAsia"/>
                <w:vertAlign w:val="superscript"/>
              </w:rPr>
              <w:t>3</w:t>
            </w:r>
          </w:p>
          <w:p>
            <w:pPr>
              <w:pStyle w:val="19"/>
              <w:bidi w:val="0"/>
              <w:jc w:val="center"/>
            </w:pPr>
            <w:r>
              <w:rPr>
                <w:rFonts w:hint="eastAsia"/>
              </w:rPr>
              <w:t>(以碳计)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11" w:type="dxa"/>
            <w:tcBorders>
              <w:tl2br w:val="nil"/>
              <w:tr2bl w:val="nil"/>
            </w:tcBorders>
            <w:vAlign w:val="center"/>
          </w:tcPr>
          <w:p>
            <w:pPr>
              <w:pStyle w:val="19"/>
              <w:bidi w:val="0"/>
              <w:rPr>
                <w:rFonts w:hint="eastAsia"/>
                <w:lang w:val="en-US" w:eastAsia="zh-CN"/>
              </w:rPr>
            </w:pPr>
            <w:bookmarkStart w:id="249" w:name="_Toc9222"/>
            <w:bookmarkStart w:id="250" w:name="_Toc20319"/>
            <w:bookmarkStart w:id="251" w:name="_Toc26027"/>
            <w:bookmarkStart w:id="252" w:name="_Toc15519"/>
            <w:bookmarkStart w:id="253" w:name="_Toc8997"/>
            <w:r>
              <w:rPr>
                <w:rFonts w:hint="eastAsia"/>
                <w:lang w:val="en-US" w:eastAsia="zh-CN"/>
              </w:rPr>
              <w:t>噪声</w:t>
            </w:r>
          </w:p>
        </w:tc>
        <w:tc>
          <w:tcPr>
            <w:tcW w:w="955" w:type="dxa"/>
            <w:tcBorders>
              <w:tl2br w:val="nil"/>
              <w:tr2bl w:val="nil"/>
            </w:tcBorders>
            <w:vAlign w:val="center"/>
          </w:tcPr>
          <w:p>
            <w:pPr>
              <w:pStyle w:val="19"/>
              <w:bidi w:val="0"/>
              <w:rPr>
                <w:rFonts w:hint="eastAsia"/>
                <w:lang w:val="en-US" w:eastAsia="zh-CN"/>
              </w:rPr>
            </w:pPr>
            <w:r>
              <w:t>厂界环境噪声</w:t>
            </w:r>
          </w:p>
        </w:tc>
        <w:tc>
          <w:tcPr>
            <w:tcW w:w="3050" w:type="dxa"/>
            <w:tcBorders>
              <w:tl2br w:val="nil"/>
              <w:tr2bl w:val="nil"/>
            </w:tcBorders>
            <w:vAlign w:val="center"/>
          </w:tcPr>
          <w:p>
            <w:pPr>
              <w:pStyle w:val="19"/>
              <w:bidi w:val="0"/>
              <w:rPr>
                <w:rFonts w:hint="eastAsia"/>
                <w:lang w:val="en-US" w:eastAsia="zh-CN"/>
              </w:rPr>
            </w:pPr>
            <w:r>
              <w:t>工业企业厂界环境噪声 排放标准GB12348-2008</w:t>
            </w:r>
          </w:p>
        </w:tc>
        <w:tc>
          <w:tcPr>
            <w:tcW w:w="2626" w:type="dxa"/>
            <w:tcBorders>
              <w:tl2br w:val="nil"/>
              <w:tr2bl w:val="nil"/>
            </w:tcBorders>
            <w:vAlign w:val="center"/>
          </w:tcPr>
          <w:p>
            <w:pPr>
              <w:pStyle w:val="19"/>
              <w:bidi w:val="0"/>
            </w:pPr>
            <w:r>
              <w:t>AWA5688型</w:t>
            </w:r>
          </w:p>
          <w:p>
            <w:pPr>
              <w:pStyle w:val="19"/>
              <w:bidi w:val="0"/>
              <w:rPr>
                <w:rFonts w:hint="eastAsia"/>
                <w:lang w:val="en-US" w:eastAsia="zh-CN"/>
              </w:rPr>
            </w:pPr>
            <w:r>
              <w:t>多功能声级计</w:t>
            </w:r>
          </w:p>
        </w:tc>
        <w:tc>
          <w:tcPr>
            <w:tcW w:w="1180" w:type="dxa"/>
            <w:tcBorders>
              <w:tl2br w:val="nil"/>
              <w:tr2bl w:val="nil"/>
            </w:tcBorders>
            <w:vAlign w:val="center"/>
          </w:tcPr>
          <w:p>
            <w:pPr>
              <w:pStyle w:val="19"/>
              <w:bidi w:val="0"/>
              <w:rPr>
                <w:rFonts w:hint="eastAsia"/>
                <w:lang w:val="en-US" w:eastAsia="zh-CN"/>
              </w:rPr>
            </w:pPr>
            <w:r>
              <w:t>/</w:t>
            </w:r>
          </w:p>
        </w:tc>
      </w:tr>
      <w:bookmarkEnd w:id="249"/>
      <w:bookmarkEnd w:id="250"/>
      <w:bookmarkEnd w:id="251"/>
      <w:bookmarkEnd w:id="252"/>
      <w:bookmarkEnd w:id="253"/>
    </w:tbl>
    <w:p>
      <w:pPr>
        <w:pStyle w:val="3"/>
        <w:bidi w:val="0"/>
        <w:rPr>
          <w:rFonts w:hint="default"/>
          <w:lang w:val="en-US" w:eastAsia="zh-CN"/>
        </w:rPr>
      </w:pPr>
      <w:bookmarkStart w:id="254" w:name="_Toc27579"/>
      <w:bookmarkStart w:id="255" w:name="_Toc3621"/>
      <w:bookmarkStart w:id="256" w:name="_Toc10046"/>
      <w:bookmarkStart w:id="257" w:name="_Toc27968"/>
      <w:bookmarkStart w:id="258" w:name="_Toc21397"/>
      <w:bookmarkStart w:id="259" w:name="_Toc23065"/>
      <w:bookmarkStart w:id="260" w:name="_Toc497001484"/>
      <w:r>
        <w:rPr>
          <w:rFonts w:hint="default"/>
          <w:lang w:val="en-US" w:eastAsia="zh-CN"/>
        </w:rPr>
        <w:t>监测分析过程中的质量保证和质量控制</w:t>
      </w:r>
      <w:bookmarkEnd w:id="254"/>
      <w:bookmarkEnd w:id="255"/>
      <w:bookmarkEnd w:id="256"/>
      <w:bookmarkEnd w:id="257"/>
      <w:bookmarkEnd w:id="258"/>
      <w:bookmarkEnd w:id="259"/>
    </w:p>
    <w:p>
      <w:pPr>
        <w:bidi w:val="0"/>
        <w:rPr>
          <w:rFonts w:hint="default"/>
        </w:rPr>
      </w:pPr>
      <w:bookmarkStart w:id="261" w:name="_Toc29974"/>
      <w:bookmarkStart w:id="262" w:name="_Toc32703"/>
      <w:bookmarkStart w:id="263" w:name="_Toc30893"/>
      <w:bookmarkStart w:id="264" w:name="_Toc22707"/>
      <w:r>
        <w:rPr>
          <w:rFonts w:hint="default"/>
        </w:rPr>
        <w:t>本次检测采样及样品分析均严格按照《固定污染源废气 总烃、甲烷和非甲烷总烃的测定气相色谱法》</w:t>
      </w:r>
      <w:r>
        <w:rPr>
          <w:rFonts w:hint="eastAsia"/>
          <w:lang w:eastAsia="zh-CN"/>
        </w:rPr>
        <w:t>（HJ 38-2017）</w:t>
      </w:r>
      <w:r>
        <w:rPr>
          <w:rFonts w:hint="default"/>
        </w:rPr>
        <w:t>、《大气污染物无组织排放监测技术导则》（HJ/T55-2000）、《环境噪声监测技术规范噪声测量值修正》（HJ706-2014）、《工业企业厂界噪声排放标准》（GB12348-2008）等要求进行，实施全程序质量控制。</w:t>
      </w:r>
    </w:p>
    <w:p>
      <w:pPr>
        <w:bidi w:val="0"/>
        <w:rPr>
          <w:rFonts w:hint="default"/>
        </w:rPr>
      </w:pPr>
      <w:r>
        <w:rPr>
          <w:rFonts w:hint="default"/>
        </w:rPr>
        <w:t>1.检测人员：参加检测人员均经过培训、考试合格、持证上岗。</w:t>
      </w:r>
    </w:p>
    <w:p>
      <w:pPr>
        <w:bidi w:val="0"/>
        <w:rPr>
          <w:rFonts w:hint="default"/>
        </w:rPr>
      </w:pPr>
      <w:r>
        <w:rPr>
          <w:rFonts w:hint="default"/>
        </w:rPr>
        <w:t>2.检测仪器：检测所用仪器经计量部门定期校验，保证仪器性能稳定，处于良好的工作状态。</w:t>
      </w:r>
    </w:p>
    <w:p>
      <w:pPr>
        <w:bidi w:val="0"/>
        <w:rPr>
          <w:rFonts w:hint="default"/>
        </w:rPr>
      </w:pPr>
      <w:r>
        <w:rPr>
          <w:rFonts w:hint="default"/>
        </w:rPr>
        <w:t>3.检测记录与分析结果：所有记录及分析结果均经过三级审核。</w:t>
      </w:r>
    </w:p>
    <w:p>
      <w:pPr>
        <w:bidi w:val="0"/>
        <w:rPr>
          <w:rFonts w:hint="default"/>
        </w:rPr>
      </w:pPr>
      <w:r>
        <w:rPr>
          <w:rFonts w:hint="default"/>
        </w:rPr>
        <w:t>4.检测分析方法均采用现行国家颁布的标准（或推荐）的分析方法。</w:t>
      </w:r>
    </w:p>
    <w:bookmarkEnd w:id="261"/>
    <w:bookmarkEnd w:id="262"/>
    <w:bookmarkEnd w:id="263"/>
    <w:bookmarkEnd w:id="264"/>
    <w:p>
      <w:pPr>
        <w:pStyle w:val="2"/>
        <w:bidi w:val="0"/>
        <w:rPr>
          <w:rFonts w:hint="default"/>
        </w:rPr>
      </w:pPr>
      <w:bookmarkStart w:id="265" w:name="_Toc26295"/>
      <w:bookmarkStart w:id="266" w:name="_Toc12168"/>
      <w:bookmarkStart w:id="267" w:name="_Toc2866"/>
      <w:bookmarkStart w:id="268" w:name="_Toc32657"/>
      <w:bookmarkStart w:id="269" w:name="_Toc27559"/>
      <w:bookmarkStart w:id="270" w:name="_Toc12952"/>
      <w:r>
        <w:rPr>
          <w:rFonts w:hint="default"/>
        </w:rPr>
        <w:t>验收</w:t>
      </w:r>
      <w:r>
        <w:rPr>
          <w:rFonts w:hint="default"/>
          <w:lang w:eastAsia="zh-CN"/>
        </w:rPr>
        <w:t>监测</w:t>
      </w:r>
      <w:r>
        <w:rPr>
          <w:rFonts w:hint="default"/>
        </w:rPr>
        <w:t>结果</w:t>
      </w:r>
      <w:bookmarkEnd w:id="260"/>
      <w:bookmarkEnd w:id="265"/>
      <w:bookmarkEnd w:id="266"/>
      <w:bookmarkEnd w:id="267"/>
      <w:bookmarkEnd w:id="268"/>
      <w:bookmarkEnd w:id="269"/>
      <w:bookmarkEnd w:id="270"/>
    </w:p>
    <w:p>
      <w:pPr>
        <w:pStyle w:val="3"/>
        <w:bidi w:val="0"/>
        <w:rPr>
          <w:rFonts w:hint="default"/>
          <w:lang w:eastAsia="zh-CN"/>
        </w:rPr>
      </w:pPr>
      <w:bookmarkStart w:id="271" w:name="_Toc15388"/>
      <w:bookmarkStart w:id="272" w:name="_Toc1588"/>
      <w:bookmarkStart w:id="273" w:name="_Toc11443"/>
      <w:bookmarkStart w:id="274" w:name="_Toc14264"/>
      <w:bookmarkStart w:id="275" w:name="_Toc29417"/>
      <w:bookmarkStart w:id="276" w:name="_Toc12867"/>
      <w:bookmarkStart w:id="277" w:name="_Toc497001485"/>
      <w:r>
        <w:rPr>
          <w:rFonts w:hint="default"/>
          <w:lang w:val="en-US" w:eastAsia="zh-CN"/>
        </w:rPr>
        <w:t>生产工况</w:t>
      </w:r>
      <w:bookmarkEnd w:id="271"/>
      <w:bookmarkEnd w:id="272"/>
      <w:bookmarkEnd w:id="273"/>
      <w:bookmarkEnd w:id="274"/>
      <w:bookmarkEnd w:id="275"/>
      <w:bookmarkEnd w:id="276"/>
    </w:p>
    <w:p>
      <w:pPr>
        <w:bidi w:val="0"/>
        <w:rPr>
          <w:rFonts w:hint="eastAsia"/>
          <w:lang w:val="en-US" w:eastAsia="zh-CN"/>
        </w:rPr>
      </w:pPr>
      <w:r>
        <w:rPr>
          <w:rFonts w:hint="eastAsia"/>
          <w:lang w:val="en-US" w:eastAsia="zh-CN"/>
        </w:rPr>
        <w:t>年产50亿只密封圈项目（一期）产品方案为：16.7亿只/年（668万只/天）密封圈。</w:t>
      </w:r>
    </w:p>
    <w:p>
      <w:pPr>
        <w:bidi w:val="0"/>
        <w:rPr>
          <w:rFonts w:hint="eastAsia"/>
          <w:lang w:val="en-US" w:eastAsia="zh-CN"/>
        </w:rPr>
      </w:pPr>
      <w:r>
        <w:rPr>
          <w:rFonts w:hint="eastAsia"/>
          <w:lang w:val="en-US" w:eastAsia="zh-CN"/>
        </w:rPr>
        <w:t>检测期间生产工况见下表：</w:t>
      </w:r>
    </w:p>
    <w:p>
      <w:pPr>
        <w:pStyle w:val="20"/>
        <w:bidi w:val="0"/>
        <w:rPr>
          <w:rFonts w:hint="eastAsia"/>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 xml:space="preserve"> 验收</w:t>
      </w:r>
      <w:r>
        <w:rPr>
          <w:rFonts w:hint="default"/>
          <w:lang w:eastAsia="zh-CN"/>
        </w:rPr>
        <w:t>监测</w:t>
      </w:r>
      <w:r>
        <w:rPr>
          <w:rFonts w:hint="default"/>
        </w:rPr>
        <w:t>期间生产工况</w:t>
      </w:r>
      <w:r>
        <w:rPr>
          <w:rFonts w:hint="eastAsia"/>
          <w:lang w:val="en-US" w:eastAsia="zh-CN"/>
        </w:rPr>
        <w:t>负荷表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927"/>
        <w:gridCol w:w="2131"/>
        <w:gridCol w:w="23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监测日期</w:t>
            </w:r>
          </w:p>
        </w:tc>
        <w:tc>
          <w:tcPr>
            <w:tcW w:w="1927"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设计产量（</w:t>
            </w:r>
            <w:r>
              <w:rPr>
                <w:rFonts w:hint="eastAsia"/>
                <w:b/>
                <w:bCs w:val="0"/>
                <w:lang w:val="en-US" w:eastAsia="zh-CN"/>
              </w:rPr>
              <w:t>万只</w:t>
            </w:r>
            <w:r>
              <w:rPr>
                <w:rFonts w:hint="default"/>
                <w:b/>
                <w:bCs w:val="0"/>
                <w:lang w:val="en-US" w:eastAsia="zh-CN"/>
              </w:rPr>
              <w:t>/d）</w:t>
            </w:r>
          </w:p>
        </w:tc>
        <w:tc>
          <w:tcPr>
            <w:tcW w:w="2131"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实际产量（</w:t>
            </w:r>
            <w:r>
              <w:rPr>
                <w:rFonts w:hint="eastAsia"/>
                <w:b/>
                <w:bCs w:val="0"/>
                <w:lang w:val="en-US" w:eastAsia="zh-CN"/>
              </w:rPr>
              <w:t>万只</w:t>
            </w:r>
            <w:r>
              <w:rPr>
                <w:rFonts w:hint="default"/>
                <w:b/>
                <w:bCs w:val="0"/>
                <w:lang w:val="en-US" w:eastAsia="zh-CN"/>
              </w:rPr>
              <w:t>/d）</w:t>
            </w:r>
          </w:p>
        </w:tc>
        <w:tc>
          <w:tcPr>
            <w:tcW w:w="2316" w:type="dxa"/>
            <w:tcBorders>
              <w:tl2br w:val="nil"/>
              <w:tr2bl w:val="nil"/>
            </w:tcBorders>
            <w:vAlign w:val="center"/>
          </w:tcPr>
          <w:p>
            <w:pPr>
              <w:pStyle w:val="19"/>
              <w:bidi w:val="0"/>
              <w:rPr>
                <w:rFonts w:hint="default"/>
                <w:b/>
                <w:bCs w:val="0"/>
                <w:lang w:val="en-US" w:eastAsia="zh-CN"/>
              </w:rPr>
            </w:pPr>
            <w:r>
              <w:rPr>
                <w:rFonts w:hint="default"/>
                <w:b/>
                <w:bCs w:val="0"/>
                <w:lang w:val="en-US" w:eastAsia="zh-CN"/>
              </w:rPr>
              <w:t>生产负荷（%）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pPr>
              <w:pStyle w:val="19"/>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22</w:t>
            </w:r>
          </w:p>
        </w:tc>
        <w:tc>
          <w:tcPr>
            <w:tcW w:w="1927" w:type="dxa"/>
            <w:tcBorders>
              <w:tl2br w:val="nil"/>
              <w:tr2bl w:val="nil"/>
            </w:tcBorders>
            <w:vAlign w:val="center"/>
          </w:tcPr>
          <w:p>
            <w:pPr>
              <w:pStyle w:val="19"/>
              <w:bidi w:val="0"/>
              <w:rPr>
                <w:rFonts w:hint="default"/>
                <w:lang w:val="en-US" w:eastAsia="zh-CN"/>
              </w:rPr>
            </w:pPr>
            <w:r>
              <w:rPr>
                <w:rFonts w:hint="eastAsia"/>
                <w:lang w:val="en-US" w:eastAsia="zh-CN"/>
              </w:rPr>
              <w:t>668</w:t>
            </w:r>
          </w:p>
        </w:tc>
        <w:tc>
          <w:tcPr>
            <w:tcW w:w="2131" w:type="dxa"/>
            <w:tcBorders>
              <w:tl2br w:val="nil"/>
              <w:tr2bl w:val="nil"/>
            </w:tcBorders>
            <w:vAlign w:val="center"/>
          </w:tcPr>
          <w:p>
            <w:pPr>
              <w:pStyle w:val="19"/>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594.52</w:t>
            </w:r>
          </w:p>
        </w:tc>
        <w:tc>
          <w:tcPr>
            <w:tcW w:w="2316" w:type="dxa"/>
            <w:tcBorders>
              <w:tl2br w:val="nil"/>
              <w:tr2bl w:val="nil"/>
            </w:tcBorders>
            <w:vAlign w:val="center"/>
          </w:tcPr>
          <w:p>
            <w:pPr>
              <w:pStyle w:val="19"/>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pPr>
              <w:pStyle w:val="19"/>
              <w:bidi w:val="0"/>
              <w:rPr>
                <w:rFonts w:hint="default"/>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23</w:t>
            </w:r>
          </w:p>
        </w:tc>
        <w:tc>
          <w:tcPr>
            <w:tcW w:w="1927" w:type="dxa"/>
            <w:tcBorders>
              <w:tl2br w:val="nil"/>
              <w:tr2bl w:val="nil"/>
            </w:tcBorders>
            <w:vAlign w:val="center"/>
          </w:tcPr>
          <w:p>
            <w:pPr>
              <w:pStyle w:val="19"/>
              <w:bidi w:val="0"/>
              <w:rPr>
                <w:rFonts w:hint="default"/>
                <w:lang w:val="en-US" w:eastAsia="zh-CN"/>
              </w:rPr>
            </w:pPr>
            <w:r>
              <w:rPr>
                <w:rFonts w:hint="eastAsia"/>
                <w:lang w:val="en-US" w:eastAsia="zh-CN"/>
              </w:rPr>
              <w:t>668</w:t>
            </w:r>
          </w:p>
        </w:tc>
        <w:tc>
          <w:tcPr>
            <w:tcW w:w="2131" w:type="dxa"/>
            <w:tcBorders>
              <w:tl2br w:val="nil"/>
              <w:tr2bl w:val="nil"/>
            </w:tcBorders>
            <w:vAlign w:val="center"/>
          </w:tcPr>
          <w:p>
            <w:pPr>
              <w:pStyle w:val="19"/>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607.88</w:t>
            </w:r>
          </w:p>
        </w:tc>
        <w:tc>
          <w:tcPr>
            <w:tcW w:w="2316" w:type="dxa"/>
            <w:tcBorders>
              <w:tl2br w:val="nil"/>
              <w:tr2bl w:val="nil"/>
            </w:tcBorders>
            <w:vAlign w:val="center"/>
          </w:tcPr>
          <w:p>
            <w:pPr>
              <w:pStyle w:val="19"/>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91</w:t>
            </w:r>
          </w:p>
        </w:tc>
      </w:tr>
      <w:bookmarkEnd w:id="277"/>
    </w:tbl>
    <w:p>
      <w:pPr>
        <w:bidi w:val="0"/>
        <w:rPr>
          <w:rFonts w:hint="eastAsia"/>
          <w:lang w:val="en-US" w:eastAsia="zh-CN"/>
        </w:rPr>
      </w:pPr>
      <w:bookmarkStart w:id="278" w:name="_Toc19606"/>
      <w:bookmarkStart w:id="279" w:name="_Toc11035"/>
      <w:bookmarkStart w:id="280" w:name="_Toc31357"/>
      <w:bookmarkStart w:id="281" w:name="_Toc2421"/>
      <w:bookmarkStart w:id="282" w:name="_Toc26601"/>
      <w:r>
        <w:rPr>
          <w:rFonts w:hint="eastAsia"/>
          <w:lang w:val="en-US" w:eastAsia="zh-CN"/>
        </w:rPr>
        <w:t>由上表可知：验收监测期间，年产50亿只密封圈项目（一期）生产负荷为89%～91%，主体工程调试工况稳定、环境保护设施运行正常。</w:t>
      </w:r>
    </w:p>
    <w:p>
      <w:pPr>
        <w:pStyle w:val="3"/>
        <w:bidi w:val="0"/>
        <w:rPr>
          <w:rFonts w:hint="default"/>
        </w:rPr>
      </w:pPr>
      <w:bookmarkStart w:id="283" w:name="_Toc2880"/>
      <w:r>
        <w:rPr>
          <w:rFonts w:hint="default"/>
          <w:lang w:eastAsia="zh-CN"/>
        </w:rPr>
        <w:t>环保设施调试</w:t>
      </w:r>
      <w:r>
        <w:rPr>
          <w:rFonts w:hint="eastAsia"/>
          <w:lang w:eastAsia="zh-CN"/>
        </w:rPr>
        <w:t>运行</w:t>
      </w:r>
      <w:r>
        <w:rPr>
          <w:rFonts w:hint="default"/>
          <w:lang w:eastAsia="zh-CN"/>
        </w:rPr>
        <w:t>效果</w:t>
      </w:r>
      <w:bookmarkEnd w:id="278"/>
      <w:bookmarkEnd w:id="279"/>
      <w:bookmarkEnd w:id="280"/>
      <w:bookmarkEnd w:id="281"/>
      <w:bookmarkEnd w:id="282"/>
      <w:bookmarkEnd w:id="283"/>
    </w:p>
    <w:p>
      <w:pPr>
        <w:pStyle w:val="4"/>
        <w:bidi w:val="0"/>
        <w:rPr>
          <w:rFonts w:hint="eastAsia"/>
          <w:lang w:val="en-US" w:eastAsia="zh-CN"/>
        </w:rPr>
      </w:pPr>
      <w:bookmarkStart w:id="284" w:name="_Toc24062"/>
      <w:bookmarkStart w:id="285" w:name="_Toc22477"/>
      <w:bookmarkStart w:id="286" w:name="_Toc2074"/>
      <w:bookmarkStart w:id="287" w:name="_Toc21478"/>
      <w:bookmarkStart w:id="288" w:name="_Toc21956"/>
      <w:bookmarkStart w:id="289" w:name="_Toc497001486"/>
      <w:bookmarkStart w:id="290" w:name="_Toc640"/>
      <w:bookmarkStart w:id="291" w:name="_Toc307"/>
      <w:r>
        <w:rPr>
          <w:rFonts w:hint="eastAsia"/>
          <w:lang w:val="en-US" w:eastAsia="zh-CN"/>
        </w:rPr>
        <w:t>废气治理设施</w:t>
      </w:r>
      <w:bookmarkEnd w:id="284"/>
    </w:p>
    <w:p>
      <w:pPr>
        <w:bidi w:val="0"/>
        <w:rPr>
          <w:b/>
          <w:bCs/>
        </w:rPr>
      </w:pPr>
      <w:r>
        <w:rPr>
          <w:rFonts w:hint="eastAsia"/>
          <w:b/>
          <w:bCs/>
        </w:rPr>
        <w:t>（1）有组织排放</w:t>
      </w:r>
    </w:p>
    <w:p>
      <w:pPr>
        <w:bidi w:val="0"/>
        <w:rPr>
          <w:rFonts w:hint="eastAsia"/>
          <w:lang w:val="en-US" w:eastAsia="zh-CN"/>
        </w:rPr>
      </w:pPr>
      <w:r>
        <w:rPr>
          <w:rFonts w:hint="eastAsia"/>
          <w:lang w:eastAsia="zh-CN"/>
        </w:rPr>
        <w:t>本项目有组织废气非甲烷总烃经处理后最大排放浓度与速率分别为：2.46mg/m</w:t>
      </w:r>
      <w:r>
        <w:rPr>
          <w:rFonts w:hint="eastAsia"/>
          <w:vertAlign w:val="superscript"/>
          <w:lang w:eastAsia="zh-CN"/>
        </w:rPr>
        <w:t>3</w:t>
      </w:r>
      <w:r>
        <w:rPr>
          <w:rFonts w:hint="eastAsia"/>
          <w:lang w:eastAsia="zh-CN"/>
        </w:rPr>
        <w:t>、0.018kg/h，能够满足《合成树脂工业污染物排放标准》（GB 31572-2015）表5特别排放限值60mg/m</w:t>
      </w:r>
      <w:r>
        <w:rPr>
          <w:rFonts w:hint="eastAsia"/>
          <w:vertAlign w:val="superscript"/>
          <w:lang w:eastAsia="zh-CN"/>
        </w:rPr>
        <w:t>3</w:t>
      </w:r>
      <w:r>
        <w:rPr>
          <w:rFonts w:hint="eastAsia"/>
          <w:lang w:val="en-US" w:eastAsia="zh-CN"/>
        </w:rPr>
        <w:t>和</w:t>
      </w:r>
      <w:r>
        <w:rPr>
          <w:rFonts w:hint="eastAsia"/>
          <w:lang w:eastAsia="zh-CN"/>
        </w:rPr>
        <w:t>单位产品非甲烷总烃排放量0.3kg/t的要求，</w:t>
      </w:r>
      <w:r>
        <w:rPr>
          <w:rFonts w:hint="eastAsia"/>
          <w:lang w:val="en-US" w:eastAsia="zh-CN"/>
        </w:rPr>
        <w:t>同时满足</w:t>
      </w:r>
      <w:r>
        <w:rPr>
          <w:rFonts w:hint="eastAsia"/>
          <w:lang w:eastAsia="zh-CN"/>
        </w:rPr>
        <w:t>《河南省重污染天气重点行业应急减排措施制定技术指南（2021年修订版）》中塑料制品行业全厂有组织NMHC 10mg/m</w:t>
      </w:r>
      <w:r>
        <w:rPr>
          <w:rFonts w:hint="eastAsia"/>
          <w:vertAlign w:val="superscript"/>
          <w:lang w:eastAsia="zh-CN"/>
        </w:rPr>
        <w:t>3</w:t>
      </w:r>
      <w:r>
        <w:rPr>
          <w:rFonts w:hint="eastAsia"/>
          <w:lang w:eastAsia="zh-CN"/>
        </w:rPr>
        <w:t>的</w:t>
      </w:r>
      <w:r>
        <w:rPr>
          <w:rFonts w:hint="eastAsia"/>
          <w:lang w:val="en-US" w:eastAsia="zh-CN"/>
        </w:rPr>
        <w:t>限值</w:t>
      </w:r>
      <w:r>
        <w:rPr>
          <w:rFonts w:hint="eastAsia"/>
          <w:lang w:eastAsia="zh-CN"/>
        </w:rPr>
        <w:t>要求</w:t>
      </w:r>
      <w:r>
        <w:rPr>
          <w:rFonts w:hint="eastAsia"/>
          <w:lang w:val="en-US" w:eastAsia="zh-CN"/>
        </w:rPr>
        <w:t>。</w:t>
      </w:r>
    </w:p>
    <w:p>
      <w:pPr>
        <w:bidi w:val="0"/>
        <w:rPr>
          <w:rFonts w:hint="eastAsia"/>
          <w:lang w:val="en-US" w:eastAsia="zh-CN"/>
        </w:rPr>
      </w:pPr>
      <w:r>
        <w:rPr>
          <w:rFonts w:hint="eastAsia"/>
          <w:lang w:val="en-US" w:eastAsia="zh-CN"/>
        </w:rPr>
        <w:t>活性炭吸附/催化燃烧装置去除效率为91.2%，能够满足《关于全省开展工业企业挥发性有机物专项治理工作中排放建议的通知》（豫环攻坚办[2017]162号）中建议去除效率70%的要求。</w:t>
      </w:r>
    </w:p>
    <w:p>
      <w:pPr>
        <w:ind w:firstLine="482"/>
        <w:rPr>
          <w:b/>
          <w:bCs/>
        </w:rPr>
      </w:pPr>
      <w:r>
        <w:rPr>
          <w:rFonts w:hint="eastAsia"/>
          <w:b/>
          <w:bCs/>
        </w:rPr>
        <w:t>（2）无组织排放</w:t>
      </w:r>
    </w:p>
    <w:p>
      <w:pPr>
        <w:bidi w:val="0"/>
        <w:rPr>
          <w:rFonts w:hint="eastAsia"/>
          <w:lang w:eastAsia="zh-CN"/>
        </w:rPr>
      </w:pPr>
      <w:r>
        <w:rPr>
          <w:rFonts w:hint="default"/>
          <w:lang w:val="en-US" w:eastAsia="zh-CN"/>
        </w:rPr>
        <w:t>厂界无组织</w:t>
      </w:r>
      <w:r>
        <w:rPr>
          <w:rFonts w:hint="eastAsia"/>
          <w:lang w:val="en-US" w:eastAsia="zh-CN"/>
        </w:rPr>
        <w:t>非甲烷总烃</w:t>
      </w:r>
      <w:r>
        <w:rPr>
          <w:rFonts w:hint="default"/>
          <w:lang w:val="en-US" w:eastAsia="zh-CN"/>
        </w:rPr>
        <w:t>最大排放浓度为</w:t>
      </w:r>
      <w:r>
        <w:rPr>
          <w:rFonts w:hint="eastAsia"/>
          <w:lang w:val="en-US" w:eastAsia="zh-CN"/>
        </w:rPr>
        <w:t>1.49</w:t>
      </w:r>
      <w:r>
        <w:rPr>
          <w:rFonts w:hint="default"/>
        </w:rPr>
        <w:t>mg/</w:t>
      </w:r>
      <w:r>
        <w:rPr>
          <w:rFonts w:hint="default"/>
          <w:lang w:eastAsia="zh-CN"/>
        </w:rPr>
        <w:t>m</w:t>
      </w:r>
      <w:r>
        <w:rPr>
          <w:rFonts w:hint="default"/>
          <w:vertAlign w:val="superscript"/>
          <w:lang w:eastAsia="zh-CN"/>
        </w:rPr>
        <w:t>3</w:t>
      </w:r>
      <w:r>
        <w:rPr>
          <w:rFonts w:hint="eastAsia"/>
          <w:lang w:eastAsia="zh-CN"/>
        </w:rPr>
        <w:t>，</w:t>
      </w:r>
      <w:r>
        <w:rPr>
          <w:rFonts w:hint="eastAsia"/>
          <w:lang w:val="en-US" w:eastAsia="zh-CN"/>
        </w:rPr>
        <w:t>能够</w:t>
      </w:r>
      <w:r>
        <w:rPr>
          <w:rFonts w:hint="default"/>
          <w:lang w:val="en-US" w:eastAsia="zh-CN"/>
        </w:rPr>
        <w:t>满足</w:t>
      </w:r>
      <w:r>
        <w:rPr>
          <w:rFonts w:hint="default"/>
        </w:rPr>
        <w:t>《关于全省开展工业企业挥发性有机物专项治理工作中排放建议的通知》（豫环攻坚办[2017]162号）工业企业边界挥发性有机物排放建议值</w:t>
      </w:r>
      <w:r>
        <w:rPr>
          <w:rFonts w:hint="eastAsia"/>
          <w:lang w:val="en-US" w:eastAsia="zh-CN"/>
        </w:rPr>
        <w:t>非甲烷总烃（其他企业）2.0</w:t>
      </w:r>
      <w:r>
        <w:rPr>
          <w:rFonts w:hint="default"/>
        </w:rPr>
        <w:t>mg/</w:t>
      </w:r>
      <w:r>
        <w:rPr>
          <w:rFonts w:hint="default"/>
          <w:lang w:eastAsia="zh-CN"/>
        </w:rPr>
        <w:t>m</w:t>
      </w:r>
      <w:r>
        <w:rPr>
          <w:rFonts w:hint="default"/>
          <w:vertAlign w:val="superscript"/>
          <w:lang w:eastAsia="zh-CN"/>
        </w:rPr>
        <w:t>3</w:t>
      </w:r>
      <w:r>
        <w:rPr>
          <w:rFonts w:hint="eastAsia"/>
          <w:lang w:eastAsia="zh-CN"/>
        </w:rPr>
        <w:t>限值</w:t>
      </w:r>
      <w:r>
        <w:rPr>
          <w:rFonts w:hint="default"/>
        </w:rPr>
        <w:t>要求</w:t>
      </w:r>
      <w:r>
        <w:rPr>
          <w:rFonts w:hint="eastAsia"/>
          <w:lang w:eastAsia="zh-CN"/>
        </w:rPr>
        <w:t>。</w:t>
      </w:r>
    </w:p>
    <w:p>
      <w:pPr>
        <w:pStyle w:val="4"/>
        <w:bidi w:val="0"/>
        <w:rPr>
          <w:rFonts w:hint="eastAsia"/>
          <w:lang w:val="en-US" w:eastAsia="zh-CN"/>
        </w:rPr>
      </w:pPr>
      <w:bookmarkStart w:id="292" w:name="_Toc23439"/>
      <w:r>
        <w:rPr>
          <w:rFonts w:hint="eastAsia"/>
          <w:lang w:val="en-US" w:eastAsia="zh-CN"/>
        </w:rPr>
        <w:t>噪声治理设施</w:t>
      </w:r>
      <w:bookmarkEnd w:id="292"/>
    </w:p>
    <w:p>
      <w:pPr>
        <w:bidi w:val="0"/>
        <w:rPr>
          <w:rFonts w:hint="eastAsia"/>
          <w:lang w:val="en-US" w:eastAsia="zh-CN"/>
        </w:rPr>
      </w:pPr>
      <w:r>
        <w:rPr>
          <w:rFonts w:hint="eastAsia"/>
          <w:lang w:val="en-US" w:eastAsia="zh-CN"/>
        </w:rPr>
        <w:t>环境影响报告表及其审批部门审批决定未对去除效率作出要求，根据监测结果，厂界噪声能够达到《工业企业厂界环境噪声排放标准》（GB12348-2008）2类标准要求。</w:t>
      </w:r>
    </w:p>
    <w:p>
      <w:pPr>
        <w:pStyle w:val="4"/>
        <w:bidi w:val="0"/>
        <w:rPr>
          <w:rFonts w:hint="eastAsia"/>
          <w:lang w:val="en-US" w:eastAsia="zh-CN"/>
        </w:rPr>
      </w:pPr>
      <w:bookmarkStart w:id="293" w:name="_Toc5291"/>
      <w:r>
        <w:rPr>
          <w:rFonts w:hint="eastAsia"/>
          <w:lang w:val="en-US" w:eastAsia="zh-CN"/>
        </w:rPr>
        <w:t>固体废物治理设施</w:t>
      </w:r>
      <w:bookmarkEnd w:id="293"/>
    </w:p>
    <w:p>
      <w:pPr>
        <w:bidi w:val="0"/>
        <w:rPr>
          <w:rFonts w:hint="default"/>
          <w:lang w:val="en-US" w:eastAsia="zh-CN"/>
        </w:rPr>
      </w:pPr>
      <w:r>
        <w:rPr>
          <w:rFonts w:hint="eastAsia"/>
          <w:lang w:val="en-US" w:eastAsia="zh-CN"/>
        </w:rPr>
        <w:t>本项目生产过程中产生的一般固体废物主要是废包装袋、不合格产品及废边角料。其中废包装袋于一般固废暂存间暂存后，定期外售；不合格产品及废边角料直接回用于投料工序。</w:t>
      </w:r>
    </w:p>
    <w:p>
      <w:pPr>
        <w:bidi w:val="0"/>
        <w:rPr>
          <w:rFonts w:hint="default"/>
          <w:color w:val="auto"/>
          <w:lang w:val="en-US" w:eastAsia="zh-CN"/>
        </w:rPr>
      </w:pPr>
      <w:r>
        <w:rPr>
          <w:rFonts w:hint="eastAsia"/>
          <w:lang w:val="en-US" w:eastAsia="zh-CN"/>
        </w:rPr>
        <w:t>本项目产生的危险废物主要是液压设备更换下来的液压油、废气治理过程中产生的废活性炭和废催化剂，在危废暂存间暂存后定</w:t>
      </w:r>
      <w:r>
        <w:rPr>
          <w:rFonts w:hint="eastAsia"/>
          <w:color w:val="auto"/>
          <w:lang w:val="en-US" w:eastAsia="zh-CN"/>
        </w:rPr>
        <w:t>期由新乡威斯特环保科技有限公司收集处置。</w:t>
      </w:r>
    </w:p>
    <w:p>
      <w:pPr>
        <w:bidi w:val="0"/>
        <w:rPr>
          <w:rFonts w:hint="eastAsia"/>
          <w:lang w:val="en-US" w:eastAsia="zh-CN"/>
        </w:rPr>
      </w:pPr>
      <w:r>
        <w:rPr>
          <w:rFonts w:hint="eastAsia"/>
          <w:lang w:val="en-US" w:eastAsia="zh-CN"/>
        </w:rPr>
        <w:t>一般固废间能够满足</w:t>
      </w:r>
      <w:r>
        <w:rPr>
          <w:rFonts w:hint="default"/>
          <w:lang w:val="en-US" w:eastAsia="zh-CN"/>
        </w:rPr>
        <w:t>《一般工业固体废物贮存</w:t>
      </w:r>
      <w:r>
        <w:rPr>
          <w:rFonts w:hint="eastAsia"/>
          <w:lang w:val="en-US" w:eastAsia="zh-CN"/>
        </w:rPr>
        <w:t>和填埋</w:t>
      </w:r>
      <w:r>
        <w:rPr>
          <w:rFonts w:hint="default"/>
          <w:lang w:val="en-US" w:eastAsia="zh-CN"/>
        </w:rPr>
        <w:t>污染控制标准》（GB18599-20</w:t>
      </w:r>
      <w:r>
        <w:rPr>
          <w:rFonts w:hint="eastAsia"/>
          <w:lang w:val="en-US" w:eastAsia="zh-CN"/>
        </w:rPr>
        <w:t>20</w:t>
      </w:r>
      <w:r>
        <w:rPr>
          <w:rFonts w:hint="default"/>
          <w:lang w:val="en-US" w:eastAsia="zh-CN"/>
        </w:rPr>
        <w:t>）</w:t>
      </w:r>
      <w:r>
        <w:rPr>
          <w:color w:val="000000"/>
        </w:rPr>
        <w:t>防渗漏、防雨淋、防扬尘等环境保护要求</w:t>
      </w:r>
      <w:r>
        <w:rPr>
          <w:rFonts w:hint="eastAsia"/>
          <w:lang w:val="en-US" w:eastAsia="zh-CN"/>
        </w:rPr>
        <w:t>，危废暂存间采取防风、防晒、防雨淋、防扬散、防流失、防渗漏措施，能够满足《危险废物贮存污染控制标准》(GB18597-2023)的要求。</w:t>
      </w:r>
    </w:p>
    <w:bookmarkEnd w:id="285"/>
    <w:p>
      <w:pPr>
        <w:ind w:left="0" w:leftChars="0" w:firstLine="0" w:firstLineChars="0"/>
        <w:rPr>
          <w:rFonts w:hint="eastAsia"/>
          <w:lang w:val="en-US" w:eastAsia="zh-CN"/>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bidi w:val="0"/>
        <w:rPr>
          <w:rFonts w:hint="eastAsia"/>
          <w:lang w:val="en-US" w:eastAsia="zh-CN"/>
        </w:rPr>
      </w:pPr>
      <w:bookmarkStart w:id="294" w:name="_Toc23131"/>
      <w:r>
        <w:rPr>
          <w:rFonts w:hint="eastAsia"/>
          <w:lang w:val="en-US" w:eastAsia="zh-CN"/>
        </w:rPr>
        <w:t>污染物排放监测结果</w:t>
      </w:r>
      <w:bookmarkEnd w:id="294"/>
    </w:p>
    <w:p>
      <w:pPr>
        <w:pStyle w:val="4"/>
        <w:bidi w:val="0"/>
        <w:rPr>
          <w:rFonts w:hint="default"/>
          <w:lang w:eastAsia="zh-CN"/>
        </w:rPr>
      </w:pPr>
      <w:bookmarkStart w:id="295" w:name="_Toc25328"/>
      <w:r>
        <w:rPr>
          <w:rFonts w:hint="default"/>
          <w:lang w:val="en-US" w:eastAsia="zh-CN"/>
        </w:rPr>
        <w:t>废气</w:t>
      </w:r>
      <w:bookmarkEnd w:id="295"/>
    </w:p>
    <w:p>
      <w:pPr>
        <w:bidi w:val="0"/>
        <w:rPr>
          <w:rFonts w:hint="eastAsia"/>
          <w:lang w:eastAsia="zh-CN"/>
        </w:rPr>
      </w:pPr>
      <w:r>
        <w:rPr>
          <w:rFonts w:hint="default"/>
          <w:lang w:eastAsia="zh-CN"/>
        </w:rPr>
        <w:t>（</w:t>
      </w:r>
      <w:r>
        <w:rPr>
          <w:rFonts w:hint="default"/>
          <w:lang w:val="en-US" w:eastAsia="zh-CN"/>
        </w:rPr>
        <w:t>1</w:t>
      </w:r>
      <w:r>
        <w:rPr>
          <w:rFonts w:hint="default"/>
          <w:lang w:eastAsia="zh-CN"/>
        </w:rPr>
        <w:t>）有</w:t>
      </w:r>
      <w:r>
        <w:rPr>
          <w:rFonts w:hint="default"/>
        </w:rPr>
        <w:t>组织</w:t>
      </w:r>
      <w:r>
        <w:rPr>
          <w:rFonts w:hint="eastAsia"/>
          <w:lang w:val="en-US" w:eastAsia="zh-CN"/>
        </w:rPr>
        <w:t>排放</w:t>
      </w:r>
    </w:p>
    <w:p>
      <w:pPr>
        <w:pStyle w:val="20"/>
        <w:bidi w:val="0"/>
        <w:rPr>
          <w:rFonts w:hint="default"/>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废气排放</w:t>
      </w:r>
      <w:r>
        <w:rPr>
          <w:rFonts w:hint="default"/>
          <w:lang w:eastAsia="zh-CN"/>
        </w:rPr>
        <w:t>监测</w:t>
      </w:r>
      <w:r>
        <w:rPr>
          <w:rFonts w:hint="default"/>
        </w:rPr>
        <w:t>结果</w:t>
      </w:r>
    </w:p>
    <w:tbl>
      <w:tblPr>
        <w:tblStyle w:val="22"/>
        <w:tblW w:w="1364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45"/>
        <w:gridCol w:w="2642"/>
        <w:gridCol w:w="1269"/>
        <w:gridCol w:w="1316"/>
        <w:gridCol w:w="2251"/>
        <w:gridCol w:w="1975"/>
        <w:gridCol w:w="24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jc w:val="center"/>
        </w:trPr>
        <w:tc>
          <w:tcPr>
            <w:tcW w:w="1745" w:type="dxa"/>
            <w:tcBorders>
              <w:tl2br w:val="nil"/>
              <w:tr2bl w:val="nil"/>
            </w:tcBorders>
            <w:vAlign w:val="center"/>
          </w:tcPr>
          <w:p>
            <w:pPr>
              <w:pStyle w:val="19"/>
              <w:bidi w:val="0"/>
              <w:rPr>
                <w:b/>
                <w:bCs w:val="0"/>
              </w:rPr>
            </w:pPr>
            <w:r>
              <w:rPr>
                <w:b/>
                <w:bCs w:val="0"/>
              </w:rPr>
              <w:t>采样日期</w:t>
            </w:r>
          </w:p>
        </w:tc>
        <w:tc>
          <w:tcPr>
            <w:tcW w:w="2642" w:type="dxa"/>
            <w:tcBorders>
              <w:tl2br w:val="nil"/>
              <w:tr2bl w:val="nil"/>
            </w:tcBorders>
            <w:vAlign w:val="center"/>
          </w:tcPr>
          <w:p>
            <w:pPr>
              <w:pStyle w:val="19"/>
              <w:bidi w:val="0"/>
              <w:rPr>
                <w:b/>
                <w:bCs w:val="0"/>
              </w:rPr>
            </w:pPr>
            <w:r>
              <w:rPr>
                <w:b/>
                <w:bCs w:val="0"/>
              </w:rPr>
              <w:t>检测点位</w:t>
            </w:r>
          </w:p>
        </w:tc>
        <w:tc>
          <w:tcPr>
            <w:tcW w:w="1269" w:type="dxa"/>
            <w:tcBorders>
              <w:tl2br w:val="nil"/>
              <w:tr2bl w:val="nil"/>
            </w:tcBorders>
            <w:vAlign w:val="center"/>
          </w:tcPr>
          <w:p>
            <w:pPr>
              <w:pStyle w:val="19"/>
              <w:bidi w:val="0"/>
              <w:rPr>
                <w:b/>
                <w:bCs w:val="0"/>
              </w:rPr>
            </w:pPr>
            <w:r>
              <w:rPr>
                <w:b/>
                <w:bCs w:val="0"/>
              </w:rPr>
              <w:t>检测因子</w:t>
            </w:r>
          </w:p>
        </w:tc>
        <w:tc>
          <w:tcPr>
            <w:tcW w:w="1316" w:type="dxa"/>
            <w:tcBorders>
              <w:tl2br w:val="nil"/>
              <w:tr2bl w:val="nil"/>
            </w:tcBorders>
            <w:vAlign w:val="center"/>
          </w:tcPr>
          <w:p>
            <w:pPr>
              <w:pStyle w:val="19"/>
              <w:bidi w:val="0"/>
              <w:rPr>
                <w:b/>
                <w:bCs w:val="0"/>
              </w:rPr>
            </w:pPr>
            <w:r>
              <w:rPr>
                <w:b/>
                <w:bCs w:val="0"/>
              </w:rPr>
              <w:t>检测频次</w:t>
            </w:r>
          </w:p>
        </w:tc>
        <w:tc>
          <w:tcPr>
            <w:tcW w:w="2251" w:type="dxa"/>
            <w:tcBorders>
              <w:tl2br w:val="nil"/>
              <w:tr2bl w:val="nil"/>
            </w:tcBorders>
            <w:vAlign w:val="center"/>
          </w:tcPr>
          <w:p>
            <w:pPr>
              <w:pStyle w:val="19"/>
              <w:bidi w:val="0"/>
              <w:rPr>
                <w:b/>
                <w:bCs w:val="0"/>
              </w:rPr>
            </w:pPr>
            <w:r>
              <w:rPr>
                <w:b/>
                <w:bCs w:val="0"/>
              </w:rPr>
              <w:t>排放浓度(mg/m</w:t>
            </w:r>
            <w:r>
              <w:rPr>
                <w:b/>
                <w:bCs w:val="0"/>
                <w:vertAlign w:val="superscript"/>
              </w:rPr>
              <w:t>3</w:t>
            </w:r>
            <w:r>
              <w:rPr>
                <w:b/>
                <w:bCs w:val="0"/>
              </w:rPr>
              <w:t>)</w:t>
            </w:r>
          </w:p>
        </w:tc>
        <w:tc>
          <w:tcPr>
            <w:tcW w:w="1975" w:type="dxa"/>
            <w:tcBorders>
              <w:tl2br w:val="nil"/>
              <w:tr2bl w:val="nil"/>
            </w:tcBorders>
            <w:vAlign w:val="center"/>
          </w:tcPr>
          <w:p>
            <w:pPr>
              <w:pStyle w:val="19"/>
              <w:bidi w:val="0"/>
              <w:rPr>
                <w:b/>
                <w:bCs w:val="0"/>
              </w:rPr>
            </w:pPr>
            <w:r>
              <w:rPr>
                <w:b/>
                <w:bCs w:val="0"/>
              </w:rPr>
              <w:t>排放速率（kg/h）</w:t>
            </w:r>
          </w:p>
        </w:tc>
        <w:tc>
          <w:tcPr>
            <w:tcW w:w="2447" w:type="dxa"/>
            <w:tcBorders>
              <w:tl2br w:val="nil"/>
              <w:tr2bl w:val="nil"/>
            </w:tcBorders>
            <w:vAlign w:val="center"/>
          </w:tcPr>
          <w:p>
            <w:pPr>
              <w:pStyle w:val="19"/>
              <w:bidi w:val="0"/>
              <w:rPr>
                <w:b/>
                <w:bCs w:val="0"/>
              </w:rPr>
            </w:pPr>
            <w:r>
              <w:rPr>
                <w:b/>
                <w:bCs w:val="0"/>
              </w:rPr>
              <w:t>标干流量（m</w:t>
            </w:r>
            <w:r>
              <w:rPr>
                <w:b/>
                <w:bCs w:val="0"/>
                <w:vertAlign w:val="superscript"/>
              </w:rPr>
              <w:t>3</w:t>
            </w:r>
            <w:r>
              <w:rPr>
                <w:b/>
                <w:bCs w:val="0"/>
              </w:rPr>
              <w:t>/h）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745" w:type="dxa"/>
            <w:vMerge w:val="restart"/>
            <w:tcBorders>
              <w:tl2br w:val="nil"/>
              <w:tr2bl w:val="nil"/>
            </w:tcBorders>
            <w:vAlign w:val="center"/>
          </w:tcPr>
          <w:p>
            <w:pPr>
              <w:pStyle w:val="19"/>
              <w:bidi w:val="0"/>
              <w:ind w:firstLine="0" w:firstLineChars="0"/>
              <w:rPr>
                <w:rFonts w:hint="eastAsia" w:eastAsia="宋体"/>
                <w:lang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22</w:t>
            </w:r>
          </w:p>
        </w:tc>
        <w:tc>
          <w:tcPr>
            <w:tcW w:w="2642" w:type="dxa"/>
            <w:vMerge w:val="restart"/>
            <w:tcBorders>
              <w:tl2br w:val="nil"/>
              <w:tr2bl w:val="nil"/>
            </w:tcBorders>
            <w:vAlign w:val="center"/>
          </w:tcPr>
          <w:p>
            <w:pPr>
              <w:pStyle w:val="19"/>
              <w:bidi w:val="0"/>
            </w:pPr>
            <w:r>
              <w:rPr>
                <w:rFonts w:hint="eastAsia"/>
                <w:lang w:val="en-US" w:eastAsia="zh-CN"/>
              </w:rPr>
              <w:t>活性炭吸附/脱附-催化燃烧装置进口</w:t>
            </w:r>
          </w:p>
        </w:tc>
        <w:tc>
          <w:tcPr>
            <w:tcW w:w="1269" w:type="dxa"/>
            <w:vMerge w:val="restart"/>
            <w:tcBorders>
              <w:tl2br w:val="nil"/>
              <w:tr2bl w:val="nil"/>
            </w:tcBorders>
            <w:vAlign w:val="center"/>
          </w:tcPr>
          <w:p>
            <w:pPr>
              <w:pStyle w:val="19"/>
              <w:bidi w:val="0"/>
              <w:rPr>
                <w:rFonts w:hint="eastAsia" w:eastAsia="宋体"/>
                <w:lang w:eastAsia="zh-CN"/>
              </w:rPr>
            </w:pPr>
            <w:r>
              <w:rPr>
                <w:rFonts w:hint="eastAsia"/>
                <w:lang w:val="en-US" w:eastAsia="zh-CN"/>
              </w:rPr>
              <w:t>非甲烷总烃</w:t>
            </w:r>
          </w:p>
        </w:tc>
        <w:tc>
          <w:tcPr>
            <w:tcW w:w="1316" w:type="dxa"/>
            <w:tcBorders>
              <w:tl2br w:val="nil"/>
              <w:tr2bl w:val="nil"/>
            </w:tcBorders>
            <w:vAlign w:val="center"/>
          </w:tcPr>
          <w:p>
            <w:pPr>
              <w:pStyle w:val="19"/>
              <w:bidi w:val="0"/>
            </w:pPr>
            <w:r>
              <w:t>第1次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30.5</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0.183</w:t>
            </w:r>
          </w:p>
        </w:tc>
        <w:tc>
          <w:tcPr>
            <w:tcW w:w="2447" w:type="dxa"/>
            <w:tcBorders>
              <w:tl2br w:val="nil"/>
              <w:tr2bl w:val="nil"/>
            </w:tcBorders>
            <w:vAlign w:val="center"/>
          </w:tcPr>
          <w:p>
            <w:pPr>
              <w:pStyle w:val="19"/>
              <w:bidi w:val="0"/>
              <w:rPr>
                <w:rFonts w:hint="default"/>
                <w:lang w:val="en-US" w:eastAsia="zh-CN"/>
              </w:rPr>
            </w:pPr>
            <w:r>
              <w:rPr>
                <w:rFonts w:hint="default"/>
                <w:lang w:val="en-US" w:eastAsia="zh-CN"/>
              </w:rPr>
              <w:t>6.01×10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pPr>
            <w:r>
              <w:t>第2次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33.4</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0.196</w:t>
            </w:r>
          </w:p>
        </w:tc>
        <w:tc>
          <w:tcPr>
            <w:tcW w:w="2447" w:type="dxa"/>
            <w:tcBorders>
              <w:tl2br w:val="nil"/>
              <w:tr2bl w:val="nil"/>
            </w:tcBorders>
            <w:vAlign w:val="center"/>
          </w:tcPr>
          <w:p>
            <w:pPr>
              <w:pStyle w:val="19"/>
              <w:bidi w:val="0"/>
              <w:rPr>
                <w:rFonts w:hint="default"/>
                <w:lang w:val="en-US" w:eastAsia="zh-CN"/>
              </w:rPr>
            </w:pPr>
            <w:r>
              <w:rPr>
                <w:rFonts w:hint="default"/>
                <w:lang w:val="en-US" w:eastAsia="zh-CN"/>
              </w:rPr>
              <w:t>5.86×10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pPr>
            <w:r>
              <w:t>第3次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33.7</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0.201</w:t>
            </w:r>
          </w:p>
        </w:tc>
        <w:tc>
          <w:tcPr>
            <w:tcW w:w="2447" w:type="dxa"/>
            <w:tcBorders>
              <w:tl2br w:val="nil"/>
              <w:tr2bl w:val="nil"/>
            </w:tcBorders>
            <w:vAlign w:val="center"/>
          </w:tcPr>
          <w:p>
            <w:pPr>
              <w:pStyle w:val="19"/>
              <w:bidi w:val="0"/>
              <w:rPr>
                <w:rFonts w:hint="default"/>
                <w:lang w:val="en-US" w:eastAsia="zh-CN"/>
              </w:rPr>
            </w:pPr>
            <w:r>
              <w:rPr>
                <w:rFonts w:hint="default"/>
                <w:lang w:val="en-US" w:eastAsia="zh-CN"/>
              </w:rPr>
              <w:t>5.95×10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pPr>
            <w:r>
              <w:t>均值</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32.5</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0.193</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5.94×10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745" w:type="dxa"/>
            <w:vMerge w:val="continue"/>
            <w:tcBorders>
              <w:tl2br w:val="nil"/>
              <w:tr2bl w:val="nil"/>
            </w:tcBorders>
            <w:vAlign w:val="center"/>
          </w:tcPr>
          <w:p>
            <w:pPr>
              <w:pStyle w:val="19"/>
              <w:bidi w:val="0"/>
              <w:ind w:firstLine="0" w:firstLineChars="0"/>
            </w:pPr>
          </w:p>
        </w:tc>
        <w:tc>
          <w:tcPr>
            <w:tcW w:w="2642" w:type="dxa"/>
            <w:vMerge w:val="restart"/>
            <w:tcBorders>
              <w:tl2br w:val="nil"/>
              <w:tr2bl w:val="nil"/>
            </w:tcBorders>
            <w:vAlign w:val="center"/>
          </w:tcPr>
          <w:p>
            <w:pPr>
              <w:pStyle w:val="19"/>
              <w:bidi w:val="0"/>
            </w:pPr>
            <w:r>
              <w:rPr>
                <w:rFonts w:hint="eastAsia"/>
                <w:lang w:val="en-US" w:eastAsia="zh-CN"/>
              </w:rPr>
              <w:t>活性炭吸附/脱附-催化燃烧装置出口</w:t>
            </w: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pPr>
            <w:r>
              <w:t>第1次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2.46</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0.018</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7.27×10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pPr>
            <w:r>
              <w:t>第2次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2.32</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0.017</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7.33×10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pPr>
            <w:r>
              <w:t>第3次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2.24</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0.017</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7.51×10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pPr>
            <w:r>
              <w:t>均值</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2.34</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0.017</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7.37×10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restart"/>
            <w:tcBorders>
              <w:tl2br w:val="nil"/>
              <w:tr2bl w:val="nil"/>
            </w:tcBorders>
            <w:vAlign w:val="center"/>
          </w:tcPr>
          <w:p>
            <w:pPr>
              <w:pStyle w:val="19"/>
              <w:bidi w:val="0"/>
              <w:ind w:firstLine="0" w:firstLineChars="0"/>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23</w:t>
            </w:r>
          </w:p>
        </w:tc>
        <w:tc>
          <w:tcPr>
            <w:tcW w:w="2642" w:type="dxa"/>
            <w:vMerge w:val="restart"/>
            <w:tcBorders>
              <w:tl2br w:val="nil"/>
              <w:tr2bl w:val="nil"/>
            </w:tcBorders>
            <w:vAlign w:val="center"/>
          </w:tcPr>
          <w:p>
            <w:pPr>
              <w:pStyle w:val="19"/>
              <w:bidi w:val="0"/>
              <w:ind w:firstLine="0" w:firstLineChars="0"/>
            </w:pPr>
            <w:r>
              <w:rPr>
                <w:rFonts w:hint="eastAsia"/>
                <w:lang w:val="en-US" w:eastAsia="zh-CN"/>
              </w:rPr>
              <w:t>活性炭吸附/脱附-催化燃烧装置进口</w:t>
            </w:r>
          </w:p>
        </w:tc>
        <w:tc>
          <w:tcPr>
            <w:tcW w:w="1269" w:type="dxa"/>
            <w:vMerge w:val="restart"/>
            <w:tcBorders>
              <w:tl2br w:val="nil"/>
              <w:tr2bl w:val="nil"/>
            </w:tcBorders>
            <w:vAlign w:val="center"/>
          </w:tcPr>
          <w:p>
            <w:pPr>
              <w:pStyle w:val="19"/>
              <w:bidi w:val="0"/>
              <w:ind w:firstLine="0" w:firstLineChars="0"/>
            </w:pPr>
            <w:r>
              <w:rPr>
                <w:rFonts w:hint="eastAsia"/>
                <w:lang w:val="en-US" w:eastAsia="zh-CN"/>
              </w:rPr>
              <w:t>非甲烷总烃</w:t>
            </w: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32.6</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0.202</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6.21×10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38.6</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0.232</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6.00×10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33.9</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0.207</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6.15×10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35</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0.214</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6.12×10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ind w:firstLine="0" w:firstLineChars="0"/>
            </w:pPr>
          </w:p>
        </w:tc>
        <w:tc>
          <w:tcPr>
            <w:tcW w:w="2642" w:type="dxa"/>
            <w:vMerge w:val="restart"/>
            <w:tcBorders>
              <w:tl2br w:val="nil"/>
              <w:tr2bl w:val="nil"/>
            </w:tcBorders>
            <w:vAlign w:val="center"/>
          </w:tcPr>
          <w:p>
            <w:pPr>
              <w:pStyle w:val="19"/>
              <w:bidi w:val="0"/>
              <w:ind w:firstLine="0" w:firstLineChars="0"/>
            </w:pPr>
            <w:r>
              <w:rPr>
                <w:rFonts w:hint="eastAsia"/>
                <w:lang w:val="en-US" w:eastAsia="zh-CN"/>
              </w:rPr>
              <w:t>活性炭吸附/脱附-催化燃烧装置出口</w:t>
            </w:r>
          </w:p>
        </w:tc>
        <w:tc>
          <w:tcPr>
            <w:tcW w:w="1269" w:type="dxa"/>
            <w:vMerge w:val="continue"/>
            <w:tcBorders>
              <w:tl2br w:val="nil"/>
              <w:tr2bl w:val="nil"/>
            </w:tcBorders>
            <w:vAlign w:val="center"/>
          </w:tcPr>
          <w:p>
            <w:pPr>
              <w:pStyle w:val="19"/>
              <w:bidi w:val="0"/>
              <w:ind w:firstLine="0" w:firstLineChars="0"/>
            </w:pP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2251" w:type="dxa"/>
            <w:tcBorders>
              <w:tl2br w:val="nil"/>
              <w:tr2bl w:val="nil"/>
            </w:tcBorders>
            <w:vAlign w:val="center"/>
          </w:tcPr>
          <w:p>
            <w:pPr>
              <w:pStyle w:val="19"/>
              <w:bidi w:val="0"/>
              <w:rPr>
                <w:rFonts w:hint="eastAsia"/>
                <w:lang w:val="en-US" w:eastAsia="zh-CN"/>
              </w:rPr>
            </w:pPr>
            <w:r>
              <w:rPr>
                <w:rFonts w:hint="default"/>
                <w:lang w:val="en-US" w:eastAsia="zh-CN"/>
              </w:rPr>
              <w:t>2.28</w:t>
            </w:r>
          </w:p>
        </w:tc>
        <w:tc>
          <w:tcPr>
            <w:tcW w:w="1975" w:type="dxa"/>
            <w:tcBorders>
              <w:tl2br w:val="nil"/>
              <w:tr2bl w:val="nil"/>
            </w:tcBorders>
            <w:vAlign w:val="center"/>
          </w:tcPr>
          <w:p>
            <w:pPr>
              <w:pStyle w:val="19"/>
              <w:bidi w:val="0"/>
              <w:rPr>
                <w:rFonts w:hint="eastAsia"/>
                <w:lang w:val="en-US" w:eastAsia="zh-CN"/>
              </w:rPr>
            </w:pPr>
            <w:r>
              <w:rPr>
                <w:rFonts w:hint="default"/>
                <w:lang w:val="en-US" w:eastAsia="zh-CN"/>
              </w:rPr>
              <w:t>0.017</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7.46×10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2.13</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0.016</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7.33×10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2251" w:type="dxa"/>
            <w:tcBorders>
              <w:tl2br w:val="nil"/>
              <w:tr2bl w:val="nil"/>
            </w:tcBorders>
            <w:vAlign w:val="center"/>
          </w:tcPr>
          <w:p>
            <w:pPr>
              <w:pStyle w:val="19"/>
              <w:bidi w:val="0"/>
              <w:rPr>
                <w:rFonts w:hint="eastAsia"/>
                <w:lang w:val="en-US" w:eastAsia="zh-CN"/>
              </w:rPr>
            </w:pPr>
            <w:r>
              <w:rPr>
                <w:rFonts w:hint="default"/>
                <w:lang w:val="en-US" w:eastAsia="zh-CN"/>
              </w:rPr>
              <w:t>2.21</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0.017</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7.51×10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745" w:type="dxa"/>
            <w:vMerge w:val="continue"/>
            <w:tcBorders>
              <w:tl2br w:val="nil"/>
              <w:tr2bl w:val="nil"/>
            </w:tcBorders>
            <w:vAlign w:val="center"/>
          </w:tcPr>
          <w:p>
            <w:pPr>
              <w:pStyle w:val="19"/>
              <w:bidi w:val="0"/>
            </w:pPr>
          </w:p>
        </w:tc>
        <w:tc>
          <w:tcPr>
            <w:tcW w:w="2642" w:type="dxa"/>
            <w:vMerge w:val="continue"/>
            <w:tcBorders>
              <w:tl2br w:val="nil"/>
              <w:tr2bl w:val="nil"/>
            </w:tcBorders>
            <w:vAlign w:val="center"/>
          </w:tcPr>
          <w:p>
            <w:pPr>
              <w:pStyle w:val="19"/>
              <w:bidi w:val="0"/>
            </w:pPr>
          </w:p>
        </w:tc>
        <w:tc>
          <w:tcPr>
            <w:tcW w:w="1269" w:type="dxa"/>
            <w:vMerge w:val="continue"/>
            <w:tcBorders>
              <w:tl2br w:val="nil"/>
              <w:tr2bl w:val="nil"/>
            </w:tcBorders>
            <w:vAlign w:val="center"/>
          </w:tcPr>
          <w:p>
            <w:pPr>
              <w:pStyle w:val="19"/>
              <w:bidi w:val="0"/>
            </w:pPr>
          </w:p>
        </w:tc>
        <w:tc>
          <w:tcPr>
            <w:tcW w:w="1316" w:type="dxa"/>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2251" w:type="dxa"/>
            <w:tcBorders>
              <w:tl2br w:val="nil"/>
              <w:tr2bl w:val="nil"/>
            </w:tcBorders>
            <w:vAlign w:val="center"/>
          </w:tcPr>
          <w:p>
            <w:pPr>
              <w:pStyle w:val="19"/>
              <w:bidi w:val="0"/>
              <w:rPr>
                <w:rFonts w:hint="default"/>
                <w:lang w:val="en-US" w:eastAsia="zh-CN"/>
              </w:rPr>
            </w:pPr>
            <w:r>
              <w:rPr>
                <w:rFonts w:hint="default"/>
                <w:lang w:val="en-US" w:eastAsia="zh-CN"/>
              </w:rPr>
              <w:t>2.21</w:t>
            </w:r>
          </w:p>
        </w:tc>
        <w:tc>
          <w:tcPr>
            <w:tcW w:w="1975" w:type="dxa"/>
            <w:tcBorders>
              <w:tl2br w:val="nil"/>
              <w:tr2bl w:val="nil"/>
            </w:tcBorders>
            <w:vAlign w:val="center"/>
          </w:tcPr>
          <w:p>
            <w:pPr>
              <w:pStyle w:val="19"/>
              <w:bidi w:val="0"/>
              <w:rPr>
                <w:rFonts w:hint="default"/>
                <w:lang w:val="en-US" w:eastAsia="zh-CN"/>
              </w:rPr>
            </w:pPr>
            <w:r>
              <w:rPr>
                <w:rFonts w:hint="default"/>
                <w:lang w:val="en-US" w:eastAsia="zh-CN"/>
              </w:rPr>
              <w:t>0.016</w:t>
            </w:r>
          </w:p>
        </w:tc>
        <w:tc>
          <w:tcPr>
            <w:tcW w:w="2447" w:type="dxa"/>
            <w:tcBorders>
              <w:tl2br w:val="nil"/>
              <w:tr2bl w:val="nil"/>
            </w:tcBorders>
            <w:vAlign w:val="center"/>
          </w:tcPr>
          <w:p>
            <w:pPr>
              <w:pStyle w:val="19"/>
              <w:bidi w:val="0"/>
              <w:rPr>
                <w:rFonts w:hint="eastAsia"/>
                <w:lang w:val="en-US" w:eastAsia="zh-CN"/>
              </w:rPr>
            </w:pPr>
            <w:r>
              <w:rPr>
                <w:rFonts w:hint="default"/>
                <w:lang w:val="en-US" w:eastAsia="zh-CN"/>
              </w:rPr>
              <w:t>7.43×10</w:t>
            </w:r>
            <w:r>
              <w:rPr>
                <w:rFonts w:hint="default"/>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3645" w:type="dxa"/>
            <w:gridSpan w:val="7"/>
            <w:tcBorders>
              <w:tl2br w:val="nil"/>
              <w:tr2bl w:val="nil"/>
            </w:tcBorders>
            <w:vAlign w:val="center"/>
          </w:tcPr>
          <w:p>
            <w:pPr>
              <w:pStyle w:val="19"/>
              <w:bidi w:val="0"/>
              <w:ind w:firstLine="422" w:firstLineChars="200"/>
              <w:jc w:val="both"/>
              <w:rPr>
                <w:rFonts w:hint="default"/>
                <w:lang w:val="en-US" w:eastAsia="zh-CN"/>
              </w:rPr>
            </w:pPr>
            <w:r>
              <w:rPr>
                <w:rFonts w:hint="eastAsia"/>
                <w:b/>
                <w:bCs w:val="0"/>
                <w:lang w:val="en-US" w:eastAsia="zh-CN"/>
              </w:rPr>
              <w:t>注：活性炭吸附/脱附-催化燃烧装置处理设施非甲烷总烃去除效率为：91.7%</w:t>
            </w:r>
          </w:p>
        </w:tc>
      </w:tr>
    </w:tbl>
    <w:p>
      <w:pPr>
        <w:bidi w:val="0"/>
        <w:rPr>
          <w:rFonts w:hint="eastAsia"/>
          <w:lang w:val="en-US" w:eastAsia="zh-CN"/>
        </w:rPr>
      </w:pPr>
      <w:r>
        <w:rPr>
          <w:rFonts w:hint="default"/>
          <w:lang w:val="en-US" w:eastAsia="zh-CN"/>
        </w:rPr>
        <w:t>由</w:t>
      </w:r>
      <w:r>
        <w:rPr>
          <w:rFonts w:hint="eastAsia"/>
          <w:lang w:val="en-US" w:eastAsia="zh-CN"/>
        </w:rPr>
        <w:t>上</w:t>
      </w:r>
      <w:r>
        <w:rPr>
          <w:rFonts w:hint="default"/>
          <w:lang w:val="en-US" w:eastAsia="zh-CN"/>
        </w:rPr>
        <w:t>表可知，</w:t>
      </w:r>
      <w:r>
        <w:rPr>
          <w:rFonts w:hint="eastAsia"/>
          <w:lang w:val="en-US" w:eastAsia="zh-CN"/>
        </w:rPr>
        <w:t>本项目</w:t>
      </w:r>
      <w:r>
        <w:rPr>
          <w:rFonts w:hint="default"/>
          <w:lang w:val="en-US" w:eastAsia="zh-CN"/>
        </w:rPr>
        <w:t>有组织废气</w:t>
      </w:r>
      <w:r>
        <w:rPr>
          <w:rFonts w:hint="eastAsia"/>
          <w:lang w:val="en-US" w:eastAsia="zh-CN"/>
        </w:rPr>
        <w:t>非甲烷总烃经处理后</w:t>
      </w:r>
      <w:r>
        <w:rPr>
          <w:rFonts w:hint="default"/>
          <w:lang w:val="en-US" w:eastAsia="zh-CN"/>
        </w:rPr>
        <w:t>最大排放浓度</w:t>
      </w:r>
      <w:r>
        <w:rPr>
          <w:rFonts w:hint="eastAsia"/>
          <w:lang w:val="en-US" w:eastAsia="zh-CN"/>
        </w:rPr>
        <w:t>与速率分别</w:t>
      </w:r>
      <w:r>
        <w:rPr>
          <w:rFonts w:hint="default"/>
          <w:lang w:val="en-US" w:eastAsia="zh-CN"/>
        </w:rPr>
        <w:t>为：</w:t>
      </w:r>
      <w:r>
        <w:rPr>
          <w:rFonts w:hint="eastAsia"/>
          <w:lang w:val="en-US" w:eastAsia="zh-CN"/>
        </w:rPr>
        <w:t>2.46mg/</w:t>
      </w:r>
      <w:r>
        <w:rPr>
          <w:rFonts w:hint="default"/>
          <w:lang w:eastAsia="zh-CN"/>
        </w:rPr>
        <w:t>m</w:t>
      </w:r>
      <w:r>
        <w:rPr>
          <w:rFonts w:hint="default"/>
          <w:vertAlign w:val="superscript"/>
          <w:lang w:eastAsia="zh-CN"/>
        </w:rPr>
        <w:t>3</w:t>
      </w:r>
      <w:r>
        <w:rPr>
          <w:rFonts w:hint="eastAsia"/>
          <w:lang w:val="en-US" w:eastAsia="zh-CN"/>
        </w:rPr>
        <w:t>、0.018</w:t>
      </w:r>
      <w:r>
        <w:rPr>
          <w:rFonts w:hint="default"/>
          <w:lang w:val="en-US" w:eastAsia="zh-CN"/>
        </w:rPr>
        <w:t>kg/h</w:t>
      </w:r>
      <w:r>
        <w:rPr>
          <w:rFonts w:hint="eastAsia"/>
          <w:lang w:val="en-US" w:eastAsia="zh-CN"/>
        </w:rPr>
        <w:t>，能够满足《合成树脂工业污染物排放标准》（GB 31572-2015）表5特别排放限值60mg/m</w:t>
      </w:r>
      <w:r>
        <w:rPr>
          <w:rFonts w:hint="eastAsia"/>
          <w:vertAlign w:val="superscript"/>
          <w:lang w:val="en-US" w:eastAsia="zh-CN"/>
        </w:rPr>
        <w:t>3</w:t>
      </w:r>
      <w:r>
        <w:rPr>
          <w:rFonts w:hint="eastAsia"/>
          <w:lang w:val="en-US" w:eastAsia="zh-CN"/>
        </w:rPr>
        <w:t>的限值要求和《河南省重污染天气重点行业应急减排措施制定技术指南（2021年修订版）》中塑料制品行业全厂有组织NMHC 10mg/m</w:t>
      </w:r>
      <w:r>
        <w:rPr>
          <w:rFonts w:hint="eastAsia"/>
          <w:vertAlign w:val="superscript"/>
          <w:lang w:val="en-US" w:eastAsia="zh-CN"/>
        </w:rPr>
        <w:t>3</w:t>
      </w:r>
      <w:r>
        <w:rPr>
          <w:rFonts w:hint="eastAsia"/>
          <w:lang w:val="en-US" w:eastAsia="zh-CN"/>
        </w:rPr>
        <w:t>的限值要求；活性炭吸附/脱附-催化燃烧装置去除效率为91.7%，能够满足《关于全省开展工业企业挥发性有机物专项治理工作中排放建议的通知》（豫环攻坚办[2017]162号）中建议去除效率70%的要求。</w:t>
      </w:r>
    </w:p>
    <w:p>
      <w:pPr>
        <w:bidi w:val="0"/>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本项目（一期）产能为16.7亿只/年密封圈，折合重量为320t/a，注塑工序非甲烷总烃最大排放速率为0.018kg/h，注塑工序每天工作16h，每年工作250天，检测时生产工况为91%，则全厂满负荷工况下非甲烷总烃实际排放量为0.0791t/a，即单位产品非甲烷总烃排放量为0.25kg/t，能够满足《合成树脂工业污染物排放标准》（GB 31572-2015）表5中单位产品非甲烷总烃排放量0.3kg/t的要求。</w:t>
      </w:r>
    </w:p>
    <w:p>
      <w:pPr>
        <w:bidi w:val="0"/>
        <w:rPr>
          <w:rFonts w:hint="eastAsia"/>
          <w:lang w:eastAsia="zh-CN"/>
        </w:rPr>
      </w:pPr>
      <w:r>
        <w:rPr>
          <w:rFonts w:hint="default"/>
          <w:lang w:eastAsia="zh-CN"/>
        </w:rPr>
        <w:t>（</w:t>
      </w:r>
      <w:r>
        <w:rPr>
          <w:rFonts w:hint="eastAsia"/>
          <w:lang w:val="en-US" w:eastAsia="zh-CN"/>
        </w:rPr>
        <w:t>2</w:t>
      </w:r>
      <w:r>
        <w:rPr>
          <w:rFonts w:hint="default"/>
          <w:lang w:eastAsia="zh-CN"/>
        </w:rPr>
        <w:t>）</w:t>
      </w:r>
      <w:r>
        <w:rPr>
          <w:rFonts w:hint="eastAsia"/>
          <w:lang w:val="en-US" w:eastAsia="zh-CN"/>
        </w:rPr>
        <w:t>无</w:t>
      </w:r>
      <w:r>
        <w:rPr>
          <w:rFonts w:hint="default"/>
        </w:rPr>
        <w:t>组织</w:t>
      </w:r>
      <w:r>
        <w:rPr>
          <w:rFonts w:hint="eastAsia"/>
          <w:lang w:val="en-US" w:eastAsia="zh-CN"/>
        </w:rPr>
        <w:t>排放</w:t>
      </w:r>
    </w:p>
    <w:p>
      <w:pPr>
        <w:pStyle w:val="20"/>
        <w:bidi w:val="0"/>
        <w:rPr>
          <w:rFonts w:hint="eastAsia"/>
          <w:lang w:val="en-US" w:eastAsia="zh-CN"/>
        </w:rPr>
      </w:pPr>
      <w:r>
        <w:rPr>
          <w:rFonts w:hint="eastAsia"/>
          <w:lang w:val="en-US" w:eastAsia="zh-CN"/>
        </w:rPr>
        <w:t xml:space="preserve">              无组织废气检测结果</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351"/>
        <w:gridCol w:w="1058"/>
        <w:gridCol w:w="1153"/>
        <w:gridCol w:w="1153"/>
        <w:gridCol w:w="1153"/>
        <w:gridCol w:w="1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tcBorders>
              <w:tl2br w:val="nil"/>
              <w:tr2bl w:val="nil"/>
            </w:tcBorders>
            <w:vAlign w:val="center"/>
          </w:tcPr>
          <w:p>
            <w:pPr>
              <w:pStyle w:val="19"/>
              <w:bidi w:val="0"/>
              <w:jc w:val="center"/>
              <w:rPr>
                <w:rFonts w:hint="eastAsia"/>
                <w:b/>
                <w:bCs w:val="0"/>
                <w:lang w:val="en-US" w:eastAsia="zh-CN"/>
              </w:rPr>
            </w:pPr>
            <w:r>
              <w:rPr>
                <w:b/>
                <w:bCs w:val="0"/>
              </w:rPr>
              <w:t>采样日期</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检测项目</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采样频次</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上风向 1#</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下风向 2#</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下风向 3#</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下风向 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restart"/>
            <w:tcBorders>
              <w:tl2br w:val="nil"/>
              <w:tr2bl w:val="nil"/>
            </w:tcBorders>
            <w:vAlign w:val="center"/>
          </w:tcPr>
          <w:p>
            <w:pPr>
              <w:pStyle w:val="19"/>
              <w:bidi w:val="0"/>
              <w:ind w:firstLine="0" w:firstLineChars="0"/>
              <w:rPr>
                <w:rFonts w:hint="eastAsia"/>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22</w:t>
            </w:r>
          </w:p>
        </w:tc>
        <w:tc>
          <w:tcPr>
            <w:tcW w:w="2025" w:type="dxa"/>
            <w:vMerge w:val="restart"/>
            <w:tcBorders>
              <w:tl2br w:val="nil"/>
              <w:tr2bl w:val="nil"/>
            </w:tcBorders>
            <w:vAlign w:val="center"/>
          </w:tcPr>
          <w:p>
            <w:pPr>
              <w:pStyle w:val="19"/>
              <w:bidi w:val="0"/>
              <w:jc w:val="center"/>
              <w:rPr>
                <w:rFonts w:hint="eastAsia"/>
                <w:lang w:val="en-US" w:eastAsia="zh-CN"/>
              </w:rPr>
            </w:pPr>
            <w:r>
              <w:rPr>
                <w:rFonts w:hint="eastAsia"/>
                <w:lang w:val="en-US" w:eastAsia="zh-CN"/>
              </w:rPr>
              <w:t>非甲烷总烃(mg/m</w:t>
            </w:r>
            <w:r>
              <w:rPr>
                <w:rFonts w:hint="eastAsia"/>
                <w:vertAlign w:val="superscript"/>
                <w:lang w:val="en-US" w:eastAsia="zh-CN"/>
              </w:rPr>
              <w:t>3</w:t>
            </w:r>
            <w:r>
              <w:rPr>
                <w:rFonts w:hint="eastAsia"/>
                <w:lang w:val="en-US" w:eastAsia="zh-CN"/>
              </w:rPr>
              <w:t>)</w:t>
            </w:r>
          </w:p>
        </w:tc>
        <w:tc>
          <w:tcPr>
            <w:tcW w:w="2025" w:type="dxa"/>
            <w:tcBorders>
              <w:tl2br w:val="nil"/>
              <w:tr2bl w:val="nil"/>
            </w:tcBorders>
            <w:vAlign w:val="center"/>
          </w:tcPr>
          <w:p>
            <w:pPr>
              <w:pStyle w:val="19"/>
              <w:bidi w:val="0"/>
              <w:jc w:val="center"/>
              <w:rPr>
                <w:rFonts w:hint="eastAsia"/>
                <w:lang w:val="en-US" w:eastAsia="zh-CN"/>
              </w:rPr>
            </w:pPr>
            <w:r>
              <w:t>第一次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1.13</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1.17</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1.24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第二次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1.21</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1.28</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1.29</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第三次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1.26</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1.35</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1.39</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第四次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1.41</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1.39</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restart"/>
            <w:tcBorders>
              <w:tl2br w:val="nil"/>
              <w:tr2bl w:val="nil"/>
            </w:tcBorders>
            <w:vAlign w:val="center"/>
          </w:tcPr>
          <w:p>
            <w:pPr>
              <w:pStyle w:val="19"/>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23</w:t>
            </w:r>
          </w:p>
        </w:tc>
        <w:tc>
          <w:tcPr>
            <w:tcW w:w="2025" w:type="dxa"/>
            <w:vMerge w:val="restart"/>
            <w:tcBorders>
              <w:tl2br w:val="nil"/>
              <w:tr2bl w:val="nil"/>
            </w:tcBorders>
            <w:vAlign w:val="center"/>
          </w:tcPr>
          <w:p>
            <w:pPr>
              <w:pStyle w:val="19"/>
              <w:bidi w:val="0"/>
              <w:jc w:val="center"/>
              <w:rPr>
                <w:rFonts w:hint="eastAsia"/>
                <w:lang w:val="en-US" w:eastAsia="zh-CN"/>
              </w:rPr>
            </w:pPr>
            <w:r>
              <w:rPr>
                <w:rFonts w:hint="eastAsia"/>
                <w:lang w:val="en-US" w:eastAsia="zh-CN"/>
              </w:rPr>
              <w:t>非甲烷总烃(mg/m</w:t>
            </w:r>
            <w:r>
              <w:rPr>
                <w:rFonts w:hint="eastAsia"/>
                <w:vertAlign w:val="superscript"/>
                <w:lang w:val="en-US" w:eastAsia="zh-CN"/>
              </w:rPr>
              <w:t>3</w:t>
            </w:r>
            <w:r>
              <w:rPr>
                <w:rFonts w:hint="eastAsia"/>
                <w:lang w:val="en-US" w:eastAsia="zh-CN"/>
              </w:rPr>
              <w:t>)</w:t>
            </w:r>
          </w:p>
        </w:tc>
        <w:tc>
          <w:tcPr>
            <w:tcW w:w="2025" w:type="dxa"/>
            <w:tcBorders>
              <w:tl2br w:val="nil"/>
              <w:tr2bl w:val="nil"/>
            </w:tcBorders>
            <w:vAlign w:val="center"/>
          </w:tcPr>
          <w:p>
            <w:pPr>
              <w:pStyle w:val="19"/>
              <w:bidi w:val="0"/>
              <w:jc w:val="center"/>
              <w:rPr>
                <w:rFonts w:hint="eastAsia"/>
                <w:lang w:val="en-US" w:eastAsia="zh-CN"/>
              </w:rPr>
            </w:pPr>
            <w:r>
              <w:t>第一次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1.19</w:t>
            </w:r>
          </w:p>
        </w:tc>
        <w:tc>
          <w:tcPr>
            <w:tcW w:w="2025" w:type="dxa"/>
            <w:tcBorders>
              <w:tl2br w:val="nil"/>
              <w:tr2bl w:val="nil"/>
            </w:tcBorders>
            <w:vAlign w:val="center"/>
          </w:tcPr>
          <w:p>
            <w:pPr>
              <w:pStyle w:val="19"/>
              <w:bidi w:val="0"/>
              <w:rPr>
                <w:rFonts w:hint="default"/>
                <w:lang w:val="en-US" w:eastAsia="zh-CN"/>
              </w:rPr>
            </w:pPr>
            <w:r>
              <w:rPr>
                <w:rFonts w:hint="default"/>
                <w:lang w:val="en-US" w:eastAsia="zh-CN"/>
              </w:rPr>
              <w:t>1.2</w:t>
            </w:r>
            <w:r>
              <w:rPr>
                <w:rFonts w:hint="eastAsia"/>
                <w:lang w:val="en-US" w:eastAsia="zh-CN"/>
              </w:rPr>
              <w:t>0</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1.24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第二次</w:t>
            </w:r>
          </w:p>
        </w:tc>
        <w:tc>
          <w:tcPr>
            <w:tcW w:w="2025" w:type="dxa"/>
            <w:tcBorders>
              <w:tl2br w:val="nil"/>
              <w:tr2bl w:val="nil"/>
            </w:tcBorders>
            <w:vAlign w:val="center"/>
          </w:tcPr>
          <w:p>
            <w:pPr>
              <w:pStyle w:val="19"/>
              <w:bidi w:val="0"/>
              <w:rPr>
                <w:rFonts w:hint="default"/>
                <w:lang w:val="en-US" w:eastAsia="zh-CN"/>
              </w:rPr>
            </w:pPr>
            <w:r>
              <w:rPr>
                <w:rFonts w:hint="default"/>
                <w:lang w:val="en-US" w:eastAsia="zh-CN"/>
              </w:rPr>
              <w:t>1.4</w:t>
            </w:r>
            <w:r>
              <w:rPr>
                <w:rFonts w:hint="eastAsia"/>
                <w:lang w:val="en-US" w:eastAsia="zh-CN"/>
              </w:rPr>
              <w:t>0</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1.47</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第三次</w:t>
            </w:r>
          </w:p>
        </w:tc>
        <w:tc>
          <w:tcPr>
            <w:tcW w:w="2025" w:type="dxa"/>
            <w:tcBorders>
              <w:tl2br w:val="nil"/>
              <w:tr2bl w:val="nil"/>
            </w:tcBorders>
            <w:vAlign w:val="center"/>
          </w:tcPr>
          <w:p>
            <w:pPr>
              <w:pStyle w:val="19"/>
              <w:bidi w:val="0"/>
              <w:rPr>
                <w:rFonts w:hint="default"/>
                <w:lang w:val="en-US" w:eastAsia="zh-CN"/>
              </w:rPr>
            </w:pPr>
            <w:r>
              <w:rPr>
                <w:rFonts w:hint="default"/>
                <w:lang w:val="en-US" w:eastAsia="zh-CN"/>
              </w:rPr>
              <w:t>1.3</w:t>
            </w:r>
            <w:r>
              <w:rPr>
                <w:rFonts w:hint="eastAsia"/>
                <w:lang w:val="en-US" w:eastAsia="zh-CN"/>
              </w:rPr>
              <w:t>0</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1.41</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1.33</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第四次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1.39</w:t>
            </w:r>
          </w:p>
        </w:tc>
        <w:tc>
          <w:tcPr>
            <w:tcW w:w="2025" w:type="dxa"/>
            <w:tcBorders>
              <w:tl2br w:val="nil"/>
              <w:tr2bl w:val="nil"/>
            </w:tcBorders>
            <w:vAlign w:val="center"/>
          </w:tcPr>
          <w:p>
            <w:pPr>
              <w:pStyle w:val="19"/>
              <w:bidi w:val="0"/>
              <w:rPr>
                <w:rFonts w:hint="default"/>
                <w:lang w:val="en-US" w:eastAsia="zh-CN"/>
              </w:rPr>
            </w:pPr>
            <w:r>
              <w:rPr>
                <w:rFonts w:hint="default"/>
                <w:lang w:val="en-US" w:eastAsia="zh-CN"/>
              </w:rPr>
              <w:t>1.4</w:t>
            </w:r>
            <w:r>
              <w:rPr>
                <w:rFonts w:hint="eastAsia"/>
                <w:lang w:val="en-US" w:eastAsia="zh-CN"/>
              </w:rPr>
              <w:t>0</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1.47</w:t>
            </w:r>
          </w:p>
        </w:tc>
      </w:tr>
    </w:tbl>
    <w:p>
      <w:pPr>
        <w:pStyle w:val="20"/>
        <w:bidi w:val="0"/>
        <w:rPr>
          <w:rFonts w:hint="eastAsia"/>
          <w:lang w:val="en-US" w:eastAsia="zh-CN"/>
        </w:rPr>
      </w:pPr>
      <w:r>
        <w:rPr>
          <w:rFonts w:hint="eastAsia"/>
          <w:lang w:val="en-US" w:eastAsia="zh-CN"/>
        </w:rPr>
        <w:t xml:space="preserve">                </w:t>
      </w:r>
      <w:r>
        <w:t>气象参数一览表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1080"/>
        <w:gridCol w:w="1235"/>
        <w:gridCol w:w="1205"/>
        <w:gridCol w:w="1266"/>
        <w:gridCol w:w="1142"/>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tcBorders>
              <w:tl2br w:val="nil"/>
              <w:tr2bl w:val="nil"/>
            </w:tcBorders>
            <w:vAlign w:val="center"/>
          </w:tcPr>
          <w:p>
            <w:pPr>
              <w:pStyle w:val="19"/>
              <w:bidi w:val="0"/>
              <w:jc w:val="center"/>
              <w:rPr>
                <w:rFonts w:hint="eastAsia"/>
                <w:b/>
                <w:bCs w:val="0"/>
                <w:lang w:val="en-US" w:eastAsia="zh-CN"/>
              </w:rPr>
            </w:pPr>
            <w:r>
              <w:rPr>
                <w:b/>
                <w:bCs w:val="0"/>
              </w:rPr>
              <w:t>采样日期</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采样频次</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气压 kPa</w:t>
            </w:r>
          </w:p>
        </w:tc>
        <w:tc>
          <w:tcPr>
            <w:tcW w:w="2025" w:type="dxa"/>
            <w:tcBorders>
              <w:tl2br w:val="nil"/>
              <w:tr2bl w:val="nil"/>
            </w:tcBorders>
            <w:vAlign w:val="center"/>
          </w:tcPr>
          <w:p>
            <w:pPr>
              <w:pStyle w:val="19"/>
              <w:bidi w:val="0"/>
              <w:jc w:val="center"/>
              <w:rPr>
                <w:rFonts w:hint="eastAsia"/>
                <w:b/>
                <w:bCs w:val="0"/>
                <w:lang w:val="en-US" w:eastAsia="zh-CN"/>
              </w:rPr>
            </w:pPr>
            <w:r>
              <w:rPr>
                <w:rFonts w:hint="eastAsia"/>
                <w:b/>
                <w:bCs w:val="0"/>
                <w:lang w:val="en-US" w:eastAsia="zh-CN"/>
              </w:rPr>
              <w:t>温度</w:t>
            </w:r>
            <w:r>
              <w:rPr>
                <w:b/>
                <w:bCs w:val="0"/>
              </w:rPr>
              <w:t>℃</w:t>
            </w:r>
          </w:p>
        </w:tc>
        <w:tc>
          <w:tcPr>
            <w:tcW w:w="2025" w:type="dxa"/>
            <w:tcBorders>
              <w:tl2br w:val="nil"/>
              <w:tr2bl w:val="nil"/>
            </w:tcBorders>
            <w:vAlign w:val="center"/>
          </w:tcPr>
          <w:p>
            <w:pPr>
              <w:pStyle w:val="19"/>
              <w:bidi w:val="0"/>
              <w:jc w:val="center"/>
              <w:rPr>
                <w:rFonts w:hint="eastAsia" w:eastAsia="宋体"/>
                <w:b/>
                <w:bCs w:val="0"/>
                <w:lang w:val="en-US" w:eastAsia="zh-CN"/>
              </w:rPr>
            </w:pPr>
            <w:r>
              <w:rPr>
                <w:rFonts w:hint="eastAsia"/>
                <w:b/>
                <w:bCs w:val="0"/>
                <w:lang w:val="en-US" w:eastAsia="zh-CN"/>
              </w:rPr>
              <w:t>湿度</w:t>
            </w:r>
            <w:r>
              <w:rPr>
                <w:b/>
                <w:bCs w:val="0"/>
              </w:rPr>
              <w:t xml:space="preserve"> </w:t>
            </w:r>
            <w:r>
              <w:rPr>
                <w:rFonts w:hint="eastAsia"/>
                <w:b/>
                <w:bCs w:val="0"/>
                <w:lang w:val="en-US" w:eastAsia="zh-CN"/>
              </w:rPr>
              <w:t>%</w:t>
            </w:r>
          </w:p>
        </w:tc>
        <w:tc>
          <w:tcPr>
            <w:tcW w:w="2025" w:type="dxa"/>
            <w:tcBorders>
              <w:tl2br w:val="nil"/>
              <w:tr2bl w:val="nil"/>
            </w:tcBorders>
            <w:vAlign w:val="center"/>
          </w:tcPr>
          <w:p>
            <w:pPr>
              <w:pStyle w:val="19"/>
              <w:bidi w:val="0"/>
              <w:jc w:val="center"/>
              <w:rPr>
                <w:rFonts w:hint="eastAsia"/>
                <w:b/>
                <w:bCs w:val="0"/>
                <w:lang w:val="en-US" w:eastAsia="zh-CN"/>
              </w:rPr>
            </w:pPr>
            <w:r>
              <w:rPr>
                <w:b/>
                <w:bCs w:val="0"/>
              </w:rPr>
              <w:t>风速 m/s</w:t>
            </w:r>
          </w:p>
        </w:tc>
        <w:tc>
          <w:tcPr>
            <w:tcW w:w="2025" w:type="dxa"/>
            <w:tcBorders>
              <w:tl2br w:val="nil"/>
              <w:tr2bl w:val="nil"/>
            </w:tcBorders>
            <w:vAlign w:val="center"/>
          </w:tcPr>
          <w:p>
            <w:pPr>
              <w:pStyle w:val="19"/>
              <w:bidi w:val="0"/>
              <w:jc w:val="center"/>
              <w:rPr>
                <w:rFonts w:hint="eastAsia" w:eastAsia="宋体"/>
                <w:b/>
                <w:bCs w:val="0"/>
                <w:lang w:val="en-US" w:eastAsia="zh-CN"/>
              </w:rPr>
            </w:pPr>
            <w:r>
              <w:rPr>
                <w:rFonts w:hint="eastAsia"/>
                <w:b/>
                <w:bCs w:val="0"/>
                <w:lang w:val="en-US" w:eastAsia="zh-CN"/>
              </w:rPr>
              <w:t>风向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restart"/>
            <w:tcBorders>
              <w:tl2br w:val="nil"/>
              <w:tr2bl w:val="nil"/>
            </w:tcBorders>
            <w:vAlign w:val="center"/>
          </w:tcPr>
          <w:p>
            <w:pPr>
              <w:pStyle w:val="19"/>
              <w:bidi w:val="0"/>
              <w:ind w:firstLine="0" w:firstLineChars="0"/>
              <w:rPr>
                <w:rFonts w:hint="eastAsia"/>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22</w:t>
            </w:r>
          </w:p>
        </w:tc>
        <w:tc>
          <w:tcPr>
            <w:tcW w:w="2025" w:type="dxa"/>
            <w:tcBorders>
              <w:tl2br w:val="nil"/>
              <w:tr2bl w:val="nil"/>
            </w:tcBorders>
            <w:vAlign w:val="center"/>
          </w:tcPr>
          <w:p>
            <w:pPr>
              <w:pStyle w:val="19"/>
              <w:bidi w:val="0"/>
              <w:jc w:val="center"/>
              <w:rPr>
                <w:rFonts w:hint="eastAsia"/>
                <w:lang w:val="en-US" w:eastAsia="zh-CN"/>
              </w:rPr>
            </w:pPr>
            <w:r>
              <w:t>第一次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102.6</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-0.1</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34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1.8</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第二次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102.3</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-0.1</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36</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1.8</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第三次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102.4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-0.2</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35</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1.9</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第四次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102.5</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-0.3</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36</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1.9</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restart"/>
            <w:tcBorders>
              <w:tl2br w:val="nil"/>
              <w:tr2bl w:val="nil"/>
            </w:tcBorders>
            <w:vAlign w:val="center"/>
          </w:tcPr>
          <w:p>
            <w:pPr>
              <w:pStyle w:val="19"/>
              <w:bidi w:val="0"/>
              <w:ind w:firstLine="0" w:firstLineChars="0"/>
              <w:rPr>
                <w:rFonts w:hint="eastAsia"/>
                <w:lang w:val="en-US" w:eastAsia="zh-CN"/>
              </w:rPr>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23</w:t>
            </w:r>
          </w:p>
        </w:tc>
        <w:tc>
          <w:tcPr>
            <w:tcW w:w="2025" w:type="dxa"/>
            <w:tcBorders>
              <w:tl2br w:val="nil"/>
              <w:tr2bl w:val="nil"/>
            </w:tcBorders>
            <w:vAlign w:val="center"/>
          </w:tcPr>
          <w:p>
            <w:pPr>
              <w:pStyle w:val="19"/>
              <w:bidi w:val="0"/>
              <w:jc w:val="center"/>
              <w:rPr>
                <w:rFonts w:hint="eastAsia"/>
                <w:lang w:val="en-US" w:eastAsia="zh-CN"/>
              </w:rPr>
            </w:pPr>
            <w:r>
              <w:t>第一次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103.6</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-0.2</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29</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2</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第二次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103.8</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30</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2</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第三次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103.9</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31</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1.9</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24" w:type="dxa"/>
            <w:vMerge w:val="continue"/>
            <w:tcBorders>
              <w:tl2br w:val="nil"/>
              <w:tr2bl w:val="nil"/>
            </w:tcBorders>
            <w:vAlign w:val="center"/>
          </w:tcPr>
          <w:p>
            <w:pPr>
              <w:pStyle w:val="19"/>
              <w:bidi w:val="0"/>
              <w:jc w:val="center"/>
              <w:rPr>
                <w:rFonts w:hint="eastAsia"/>
                <w:lang w:val="en-US" w:eastAsia="zh-CN"/>
              </w:rPr>
            </w:pPr>
          </w:p>
        </w:tc>
        <w:tc>
          <w:tcPr>
            <w:tcW w:w="2025" w:type="dxa"/>
            <w:tcBorders>
              <w:tl2br w:val="nil"/>
              <w:tr2bl w:val="nil"/>
            </w:tcBorders>
            <w:vAlign w:val="center"/>
          </w:tcPr>
          <w:p>
            <w:pPr>
              <w:pStyle w:val="19"/>
              <w:bidi w:val="0"/>
              <w:jc w:val="center"/>
              <w:rPr>
                <w:rFonts w:hint="eastAsia"/>
                <w:lang w:val="en-US" w:eastAsia="zh-CN"/>
              </w:rPr>
            </w:pPr>
            <w:r>
              <w:t>第四次</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103.7</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-0.5</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34</w:t>
            </w:r>
          </w:p>
        </w:tc>
        <w:tc>
          <w:tcPr>
            <w:tcW w:w="2025" w:type="dxa"/>
            <w:tcBorders>
              <w:tl2br w:val="nil"/>
              <w:tr2bl w:val="nil"/>
            </w:tcBorders>
            <w:vAlign w:val="center"/>
          </w:tcPr>
          <w:p>
            <w:pPr>
              <w:pStyle w:val="19"/>
              <w:bidi w:val="0"/>
              <w:rPr>
                <w:rFonts w:hint="eastAsia"/>
                <w:lang w:val="en-US" w:eastAsia="zh-CN"/>
              </w:rPr>
            </w:pPr>
            <w:r>
              <w:rPr>
                <w:rFonts w:hint="default"/>
                <w:lang w:val="en-US" w:eastAsia="zh-CN"/>
              </w:rPr>
              <w:t>1.9</w:t>
            </w:r>
          </w:p>
        </w:tc>
        <w:tc>
          <w:tcPr>
            <w:tcW w:w="2025" w:type="dxa"/>
            <w:tcBorders>
              <w:tl2br w:val="nil"/>
              <w:tr2bl w:val="nil"/>
            </w:tcBorders>
            <w:vAlign w:val="center"/>
          </w:tcPr>
          <w:p>
            <w:pPr>
              <w:pStyle w:val="19"/>
              <w:bidi w:val="0"/>
              <w:rPr>
                <w:rFonts w:hint="eastAsia"/>
                <w:lang w:val="en-US" w:eastAsia="zh-CN"/>
              </w:rPr>
            </w:pPr>
            <w:r>
              <w:rPr>
                <w:rFonts w:hint="eastAsia"/>
                <w:lang w:val="en-US" w:eastAsia="zh-CN"/>
              </w:rPr>
              <w:t>东北</w:t>
            </w:r>
          </w:p>
        </w:tc>
      </w:tr>
    </w:tbl>
    <w:p>
      <w:pPr>
        <w:bidi w:val="0"/>
        <w:rPr>
          <w:rFonts w:hint="eastAsia"/>
          <w:lang w:eastAsia="zh-CN"/>
        </w:rPr>
      </w:pPr>
      <w:r>
        <w:rPr>
          <w:rFonts w:hint="default"/>
          <w:lang w:val="en-US" w:eastAsia="zh-CN"/>
        </w:rPr>
        <w:t>由上表可知，厂界无组织</w:t>
      </w:r>
      <w:r>
        <w:rPr>
          <w:rFonts w:hint="eastAsia"/>
          <w:lang w:val="en-US" w:eastAsia="zh-CN"/>
        </w:rPr>
        <w:t>非甲烷总烃</w:t>
      </w:r>
      <w:r>
        <w:rPr>
          <w:rFonts w:hint="default"/>
          <w:lang w:val="en-US" w:eastAsia="zh-CN"/>
        </w:rPr>
        <w:t>最大排放浓度为</w:t>
      </w:r>
      <w:r>
        <w:rPr>
          <w:rFonts w:hint="eastAsia"/>
          <w:lang w:val="en-US" w:eastAsia="zh-CN"/>
        </w:rPr>
        <w:t>1.49</w:t>
      </w:r>
      <w:r>
        <w:rPr>
          <w:rFonts w:hint="default"/>
        </w:rPr>
        <w:t>mg/</w:t>
      </w:r>
      <w:r>
        <w:rPr>
          <w:rFonts w:hint="default"/>
          <w:lang w:eastAsia="zh-CN"/>
        </w:rPr>
        <w:t>m</w:t>
      </w:r>
      <w:r>
        <w:rPr>
          <w:rFonts w:hint="default"/>
          <w:vertAlign w:val="superscript"/>
          <w:lang w:eastAsia="zh-CN"/>
        </w:rPr>
        <w:t>3</w:t>
      </w:r>
      <w:r>
        <w:rPr>
          <w:rFonts w:hint="eastAsia"/>
          <w:lang w:eastAsia="zh-CN"/>
        </w:rPr>
        <w:t>，</w:t>
      </w:r>
      <w:r>
        <w:rPr>
          <w:rFonts w:hint="eastAsia"/>
          <w:lang w:val="en-US" w:eastAsia="zh-CN"/>
        </w:rPr>
        <w:t>能够</w:t>
      </w:r>
      <w:r>
        <w:rPr>
          <w:rFonts w:hint="default"/>
          <w:lang w:val="en-US" w:eastAsia="zh-CN"/>
        </w:rPr>
        <w:t>满足</w:t>
      </w:r>
      <w:r>
        <w:rPr>
          <w:rFonts w:hint="default"/>
        </w:rPr>
        <w:t>《关于全省开展工业企业挥发性有机物专项治理工作中排放建议的通知》（豫环攻坚办[2017]162号）工业企业边界挥发性有机物排放建议值</w:t>
      </w:r>
      <w:r>
        <w:rPr>
          <w:rFonts w:hint="eastAsia"/>
          <w:lang w:val="en-US" w:eastAsia="zh-CN"/>
        </w:rPr>
        <w:t>非甲烷总烃（其他企业）2.0</w:t>
      </w:r>
      <w:r>
        <w:rPr>
          <w:rFonts w:hint="default"/>
        </w:rPr>
        <w:t>mg/</w:t>
      </w:r>
      <w:r>
        <w:rPr>
          <w:rFonts w:hint="default"/>
          <w:lang w:eastAsia="zh-CN"/>
        </w:rPr>
        <w:t>m</w:t>
      </w:r>
      <w:r>
        <w:rPr>
          <w:rFonts w:hint="default"/>
          <w:vertAlign w:val="superscript"/>
          <w:lang w:eastAsia="zh-CN"/>
        </w:rPr>
        <w:t>3</w:t>
      </w:r>
      <w:r>
        <w:rPr>
          <w:rFonts w:hint="eastAsia"/>
          <w:lang w:eastAsia="zh-CN"/>
        </w:rPr>
        <w:t>限值</w:t>
      </w:r>
      <w:r>
        <w:rPr>
          <w:rFonts w:hint="default"/>
        </w:rPr>
        <w:t>要求</w:t>
      </w:r>
      <w:r>
        <w:rPr>
          <w:rFonts w:hint="eastAsia"/>
          <w:lang w:eastAsia="zh-CN"/>
        </w:rPr>
        <w:t>。</w:t>
      </w:r>
    </w:p>
    <w:bookmarkEnd w:id="286"/>
    <w:bookmarkEnd w:id="287"/>
    <w:bookmarkEnd w:id="288"/>
    <w:bookmarkEnd w:id="289"/>
    <w:bookmarkEnd w:id="290"/>
    <w:bookmarkEnd w:id="291"/>
    <w:p>
      <w:pPr>
        <w:pStyle w:val="4"/>
        <w:bidi w:val="0"/>
        <w:rPr>
          <w:rFonts w:hint="eastAsia"/>
          <w:lang w:eastAsia="zh-CN"/>
        </w:rPr>
      </w:pPr>
      <w:bookmarkStart w:id="296" w:name="_Toc30257"/>
      <w:r>
        <w:rPr>
          <w:rFonts w:hint="eastAsia"/>
          <w:lang w:val="en-US" w:eastAsia="zh-CN"/>
        </w:rPr>
        <w:t>噪声</w:t>
      </w:r>
      <w:bookmarkEnd w:id="296"/>
    </w:p>
    <w:p>
      <w:pPr>
        <w:rPr>
          <w:rFonts w:hint="eastAsia"/>
          <w:lang w:val="en-US" w:eastAsia="zh-CN"/>
        </w:rPr>
      </w:pPr>
    </w:p>
    <w:p>
      <w:pPr>
        <w:rPr>
          <w:rFonts w:hint="eastAsia"/>
          <w:lang w:val="en-US" w:eastAsia="zh-CN"/>
        </w:rPr>
      </w:pPr>
    </w:p>
    <w:p>
      <w:pPr>
        <w:pStyle w:val="20"/>
        <w:bidi w:val="0"/>
        <w:rPr>
          <w:rFonts w:hint="default"/>
        </w:rPr>
      </w:pP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厂界噪声</w:t>
      </w:r>
      <w:r>
        <w:rPr>
          <w:rFonts w:hint="default"/>
          <w:lang w:eastAsia="zh-CN"/>
        </w:rPr>
        <w:t>监测</w:t>
      </w:r>
      <w:r>
        <w:rPr>
          <w:rFonts w:hint="default"/>
        </w:rPr>
        <w:t>结果</w:t>
      </w:r>
    </w:p>
    <w:tbl>
      <w:tblPr>
        <w:tblStyle w:val="22"/>
        <w:tblW w:w="864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079"/>
        <w:gridCol w:w="3284"/>
        <w:gridCol w:w="1713"/>
        <w:gridCol w:w="157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2079" w:type="dxa"/>
            <w:vMerge w:val="restart"/>
            <w:tcBorders>
              <w:tl2br w:val="nil"/>
              <w:tr2bl w:val="nil"/>
            </w:tcBorders>
            <w:vAlign w:val="center"/>
          </w:tcPr>
          <w:p>
            <w:pPr>
              <w:pStyle w:val="19"/>
              <w:bidi w:val="0"/>
              <w:jc w:val="center"/>
              <w:rPr>
                <w:rFonts w:hint="default"/>
                <w:b/>
                <w:bCs w:val="0"/>
                <w:lang w:val="en-US"/>
              </w:rPr>
            </w:pPr>
            <w:r>
              <w:rPr>
                <w:rFonts w:hint="eastAsia"/>
                <w:b/>
                <w:bCs w:val="0"/>
                <w:lang w:val="en-US" w:eastAsia="zh-CN"/>
              </w:rPr>
              <w:t>采样日期</w:t>
            </w:r>
          </w:p>
        </w:tc>
        <w:tc>
          <w:tcPr>
            <w:tcW w:w="3284" w:type="dxa"/>
            <w:vMerge w:val="restart"/>
            <w:tcBorders>
              <w:tl2br w:val="nil"/>
              <w:tr2bl w:val="nil"/>
            </w:tcBorders>
            <w:vAlign w:val="center"/>
          </w:tcPr>
          <w:p>
            <w:pPr>
              <w:pStyle w:val="19"/>
              <w:bidi w:val="0"/>
              <w:jc w:val="center"/>
              <w:rPr>
                <w:rFonts w:hint="default" w:eastAsia="宋体"/>
                <w:b/>
                <w:bCs w:val="0"/>
                <w:lang w:val="en-US" w:eastAsia="zh-CN"/>
              </w:rPr>
            </w:pPr>
            <w:r>
              <w:rPr>
                <w:rFonts w:hint="eastAsia"/>
                <w:b/>
                <w:bCs w:val="0"/>
                <w:lang w:val="en-US" w:eastAsia="zh-CN"/>
              </w:rPr>
              <w:t>检测点位</w:t>
            </w:r>
          </w:p>
        </w:tc>
        <w:tc>
          <w:tcPr>
            <w:tcW w:w="3284" w:type="dxa"/>
            <w:gridSpan w:val="2"/>
            <w:tcBorders>
              <w:tl2br w:val="nil"/>
              <w:tr2bl w:val="nil"/>
            </w:tcBorders>
            <w:vAlign w:val="center"/>
          </w:tcPr>
          <w:p>
            <w:pPr>
              <w:pStyle w:val="19"/>
              <w:bidi w:val="0"/>
              <w:jc w:val="center"/>
              <w:rPr>
                <w:b/>
                <w:bCs w:val="0"/>
              </w:rPr>
            </w:pPr>
            <w:r>
              <w:rPr>
                <w:rFonts w:hint="eastAsia"/>
                <w:b/>
                <w:bCs w:val="0"/>
              </w:rPr>
              <w:t>检测结果dB（A）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2079" w:type="dxa"/>
            <w:vMerge w:val="continue"/>
            <w:tcBorders>
              <w:tl2br w:val="nil"/>
              <w:tr2bl w:val="nil"/>
            </w:tcBorders>
            <w:vAlign w:val="center"/>
          </w:tcPr>
          <w:p>
            <w:pPr>
              <w:pStyle w:val="19"/>
              <w:bidi w:val="0"/>
              <w:jc w:val="center"/>
              <w:rPr>
                <w:b/>
                <w:bCs w:val="0"/>
              </w:rPr>
            </w:pPr>
          </w:p>
        </w:tc>
        <w:tc>
          <w:tcPr>
            <w:tcW w:w="3284" w:type="dxa"/>
            <w:vMerge w:val="continue"/>
            <w:tcBorders>
              <w:tl2br w:val="nil"/>
              <w:tr2bl w:val="nil"/>
            </w:tcBorders>
            <w:vAlign w:val="center"/>
          </w:tcPr>
          <w:p>
            <w:pPr>
              <w:pStyle w:val="19"/>
              <w:bidi w:val="0"/>
              <w:jc w:val="center"/>
              <w:rPr>
                <w:b/>
                <w:bCs w:val="0"/>
              </w:rPr>
            </w:pPr>
          </w:p>
        </w:tc>
        <w:tc>
          <w:tcPr>
            <w:tcW w:w="1713" w:type="dxa"/>
            <w:tcBorders>
              <w:tl2br w:val="nil"/>
              <w:tr2bl w:val="nil"/>
            </w:tcBorders>
            <w:vAlign w:val="center"/>
          </w:tcPr>
          <w:p>
            <w:pPr>
              <w:pStyle w:val="19"/>
              <w:bidi w:val="0"/>
              <w:jc w:val="center"/>
              <w:rPr>
                <w:b/>
                <w:bCs w:val="0"/>
              </w:rPr>
            </w:pPr>
            <w:r>
              <w:rPr>
                <w:b/>
                <w:bCs w:val="0"/>
              </w:rPr>
              <w:t>昼间</w:t>
            </w:r>
          </w:p>
        </w:tc>
        <w:tc>
          <w:tcPr>
            <w:tcW w:w="1571" w:type="dxa"/>
            <w:tcBorders>
              <w:tl2br w:val="nil"/>
              <w:tr2bl w:val="nil"/>
            </w:tcBorders>
            <w:vAlign w:val="center"/>
          </w:tcPr>
          <w:p>
            <w:pPr>
              <w:pStyle w:val="19"/>
              <w:bidi w:val="0"/>
              <w:jc w:val="center"/>
              <w:rPr>
                <w:b/>
                <w:bCs w:val="0"/>
              </w:rPr>
            </w:pPr>
            <w:r>
              <w:rPr>
                <w:b/>
                <w:bCs w:val="0"/>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2079" w:type="dxa"/>
            <w:vMerge w:val="restart"/>
            <w:tcBorders>
              <w:tl2br w:val="nil"/>
              <w:tr2bl w:val="nil"/>
            </w:tcBorders>
            <w:vAlign w:val="center"/>
          </w:tcPr>
          <w:p>
            <w:pPr>
              <w:pStyle w:val="19"/>
              <w:bidi w:val="0"/>
              <w:ind w:firstLine="0" w:firstLineChars="0"/>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22</w:t>
            </w:r>
          </w:p>
        </w:tc>
        <w:tc>
          <w:tcPr>
            <w:tcW w:w="3284" w:type="dxa"/>
            <w:tcBorders>
              <w:tl2br w:val="nil"/>
              <w:tr2bl w:val="nil"/>
            </w:tcBorders>
            <w:vAlign w:val="center"/>
          </w:tcPr>
          <w:p>
            <w:pPr>
              <w:pStyle w:val="19"/>
              <w:bidi w:val="0"/>
            </w:pPr>
            <w:r>
              <w:rPr>
                <w:rFonts w:hint="eastAsia"/>
                <w:lang w:val="en-US" w:eastAsia="zh-CN"/>
              </w:rPr>
              <w:t>北厂界外1m处</w:t>
            </w:r>
          </w:p>
        </w:tc>
        <w:tc>
          <w:tcPr>
            <w:tcW w:w="1713" w:type="dxa"/>
            <w:tcBorders>
              <w:tl2br w:val="nil"/>
              <w:tr2bl w:val="nil"/>
            </w:tcBorders>
            <w:vAlign w:val="center"/>
          </w:tcPr>
          <w:p>
            <w:pPr>
              <w:pStyle w:val="19"/>
              <w:bidi w:val="0"/>
              <w:rPr>
                <w:rFonts w:hint="default"/>
                <w:lang w:val="en-US"/>
              </w:rPr>
            </w:pPr>
            <w:r>
              <w:rPr>
                <w:rFonts w:hint="default"/>
                <w:lang w:val="en-US" w:eastAsia="zh-CN"/>
              </w:rPr>
              <w:t>56</w:t>
            </w:r>
            <w:r>
              <w:rPr>
                <w:rFonts w:hint="eastAsia"/>
                <w:lang w:val="en-US" w:eastAsia="zh-CN"/>
              </w:rPr>
              <w:t>.0</w:t>
            </w:r>
          </w:p>
        </w:tc>
        <w:tc>
          <w:tcPr>
            <w:tcW w:w="1571" w:type="dxa"/>
            <w:tcBorders>
              <w:tl2br w:val="nil"/>
              <w:tr2bl w:val="nil"/>
            </w:tcBorders>
            <w:vAlign w:val="center"/>
          </w:tcPr>
          <w:p>
            <w:pPr>
              <w:pStyle w:val="19"/>
              <w:bidi w:val="0"/>
            </w:pPr>
            <w:r>
              <w:rPr>
                <w:rFonts w:hint="default"/>
                <w:lang w:val="en-US" w:eastAsia="zh-CN"/>
              </w:rPr>
              <w:t>48.6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2079" w:type="dxa"/>
            <w:vMerge w:val="continue"/>
            <w:tcBorders>
              <w:tl2br w:val="nil"/>
              <w:tr2bl w:val="nil"/>
            </w:tcBorders>
            <w:vAlign w:val="center"/>
          </w:tcPr>
          <w:p>
            <w:pPr>
              <w:pStyle w:val="19"/>
              <w:bidi w:val="0"/>
              <w:jc w:val="center"/>
            </w:pPr>
          </w:p>
        </w:tc>
        <w:tc>
          <w:tcPr>
            <w:tcW w:w="3284" w:type="dxa"/>
            <w:tcBorders>
              <w:tl2br w:val="nil"/>
              <w:tr2bl w:val="nil"/>
            </w:tcBorders>
            <w:vAlign w:val="center"/>
          </w:tcPr>
          <w:p>
            <w:pPr>
              <w:pStyle w:val="19"/>
              <w:bidi w:val="0"/>
            </w:pPr>
            <w:r>
              <w:rPr>
                <w:rFonts w:hint="eastAsia"/>
                <w:lang w:val="en-US" w:eastAsia="zh-CN"/>
              </w:rPr>
              <w:t>东厂界外1m处</w:t>
            </w:r>
          </w:p>
        </w:tc>
        <w:tc>
          <w:tcPr>
            <w:tcW w:w="1713" w:type="dxa"/>
            <w:tcBorders>
              <w:tl2br w:val="nil"/>
              <w:tr2bl w:val="nil"/>
            </w:tcBorders>
            <w:vAlign w:val="center"/>
          </w:tcPr>
          <w:p>
            <w:pPr>
              <w:pStyle w:val="19"/>
              <w:bidi w:val="0"/>
            </w:pPr>
            <w:r>
              <w:rPr>
                <w:rFonts w:hint="default"/>
                <w:lang w:val="en-US" w:eastAsia="zh-CN"/>
              </w:rPr>
              <w:t>56.3</w:t>
            </w:r>
          </w:p>
        </w:tc>
        <w:tc>
          <w:tcPr>
            <w:tcW w:w="1571" w:type="dxa"/>
            <w:tcBorders>
              <w:tl2br w:val="nil"/>
              <w:tr2bl w:val="nil"/>
            </w:tcBorders>
            <w:vAlign w:val="center"/>
          </w:tcPr>
          <w:p>
            <w:pPr>
              <w:pStyle w:val="19"/>
              <w:bidi w:val="0"/>
            </w:pPr>
            <w:r>
              <w:rPr>
                <w:rFonts w:hint="default"/>
                <w:lang w:val="en-US" w:eastAsia="zh-CN"/>
              </w:rPr>
              <w:t>48.9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079" w:type="dxa"/>
            <w:vMerge w:val="continue"/>
            <w:tcBorders>
              <w:tl2br w:val="nil"/>
              <w:tr2bl w:val="nil"/>
            </w:tcBorders>
            <w:vAlign w:val="center"/>
          </w:tcPr>
          <w:p>
            <w:pPr>
              <w:pStyle w:val="19"/>
              <w:bidi w:val="0"/>
              <w:jc w:val="center"/>
            </w:pPr>
          </w:p>
        </w:tc>
        <w:tc>
          <w:tcPr>
            <w:tcW w:w="3284" w:type="dxa"/>
            <w:tcBorders>
              <w:tl2br w:val="nil"/>
              <w:tr2bl w:val="nil"/>
            </w:tcBorders>
            <w:vAlign w:val="center"/>
          </w:tcPr>
          <w:p>
            <w:pPr>
              <w:pStyle w:val="19"/>
              <w:bidi w:val="0"/>
            </w:pPr>
            <w:r>
              <w:rPr>
                <w:rFonts w:hint="eastAsia"/>
                <w:lang w:val="en-US" w:eastAsia="zh-CN"/>
              </w:rPr>
              <w:t>西厂界外1m处</w:t>
            </w:r>
          </w:p>
        </w:tc>
        <w:tc>
          <w:tcPr>
            <w:tcW w:w="1713" w:type="dxa"/>
            <w:tcBorders>
              <w:tl2br w:val="nil"/>
              <w:tr2bl w:val="nil"/>
            </w:tcBorders>
            <w:vAlign w:val="center"/>
          </w:tcPr>
          <w:p>
            <w:pPr>
              <w:pStyle w:val="19"/>
              <w:bidi w:val="0"/>
              <w:rPr>
                <w:rFonts w:hint="default"/>
                <w:lang w:val="en-US"/>
              </w:rPr>
            </w:pPr>
            <w:r>
              <w:rPr>
                <w:rFonts w:hint="default"/>
                <w:lang w:val="en-US" w:eastAsia="zh-CN"/>
              </w:rPr>
              <w:t>57</w:t>
            </w:r>
            <w:r>
              <w:rPr>
                <w:rFonts w:hint="eastAsia"/>
                <w:lang w:val="en-US" w:eastAsia="zh-CN"/>
              </w:rPr>
              <w:t>.0</w:t>
            </w:r>
          </w:p>
        </w:tc>
        <w:tc>
          <w:tcPr>
            <w:tcW w:w="1571" w:type="dxa"/>
            <w:tcBorders>
              <w:tl2br w:val="nil"/>
              <w:tr2bl w:val="nil"/>
            </w:tcBorders>
            <w:vAlign w:val="center"/>
          </w:tcPr>
          <w:p>
            <w:pPr>
              <w:pStyle w:val="19"/>
              <w:bidi w:val="0"/>
            </w:pPr>
            <w:r>
              <w:rPr>
                <w:rFonts w:hint="default"/>
                <w:lang w:val="en-US" w:eastAsia="zh-CN"/>
              </w:rPr>
              <w:t>48.5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079" w:type="dxa"/>
            <w:vMerge w:val="continue"/>
            <w:tcBorders>
              <w:tl2br w:val="nil"/>
              <w:tr2bl w:val="nil"/>
            </w:tcBorders>
            <w:vAlign w:val="center"/>
          </w:tcPr>
          <w:p>
            <w:pPr>
              <w:pStyle w:val="19"/>
              <w:bidi w:val="0"/>
              <w:jc w:val="center"/>
            </w:pPr>
          </w:p>
        </w:tc>
        <w:tc>
          <w:tcPr>
            <w:tcW w:w="3284" w:type="dxa"/>
            <w:tcBorders>
              <w:tl2br w:val="nil"/>
              <w:tr2bl w:val="nil"/>
            </w:tcBorders>
            <w:vAlign w:val="center"/>
          </w:tcPr>
          <w:p>
            <w:pPr>
              <w:pStyle w:val="19"/>
              <w:bidi w:val="0"/>
            </w:pPr>
            <w:r>
              <w:rPr>
                <w:rFonts w:hint="eastAsia"/>
                <w:lang w:val="en-US" w:eastAsia="zh-CN"/>
              </w:rPr>
              <w:t>南厂界外1m处</w:t>
            </w:r>
          </w:p>
        </w:tc>
        <w:tc>
          <w:tcPr>
            <w:tcW w:w="1713" w:type="dxa"/>
            <w:tcBorders>
              <w:tl2br w:val="nil"/>
              <w:tr2bl w:val="nil"/>
            </w:tcBorders>
            <w:vAlign w:val="center"/>
          </w:tcPr>
          <w:p>
            <w:pPr>
              <w:pStyle w:val="19"/>
              <w:bidi w:val="0"/>
            </w:pPr>
            <w:r>
              <w:rPr>
                <w:rFonts w:hint="default"/>
                <w:lang w:val="en-US" w:eastAsia="zh-CN"/>
              </w:rPr>
              <w:t>57.6</w:t>
            </w:r>
          </w:p>
        </w:tc>
        <w:tc>
          <w:tcPr>
            <w:tcW w:w="1571" w:type="dxa"/>
            <w:tcBorders>
              <w:tl2br w:val="nil"/>
              <w:tr2bl w:val="nil"/>
            </w:tcBorders>
            <w:vAlign w:val="center"/>
          </w:tcPr>
          <w:p>
            <w:pPr>
              <w:pStyle w:val="19"/>
              <w:bidi w:val="0"/>
              <w:rPr>
                <w:rFonts w:hint="default"/>
                <w:lang w:val="en-US"/>
              </w:rPr>
            </w:pPr>
            <w:r>
              <w:rPr>
                <w:rFonts w:hint="default"/>
                <w:lang w:val="en-US" w:eastAsia="zh-CN"/>
              </w:rPr>
              <w:t>45</w:t>
            </w:r>
            <w:r>
              <w:rPr>
                <w:rFonts w:hint="eastAsia"/>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079" w:type="dxa"/>
            <w:vMerge w:val="restart"/>
            <w:tcBorders>
              <w:tl2br w:val="nil"/>
              <w:tr2bl w:val="nil"/>
            </w:tcBorders>
            <w:vAlign w:val="center"/>
          </w:tcPr>
          <w:p>
            <w:pPr>
              <w:pStyle w:val="19"/>
              <w:bidi w:val="0"/>
              <w:ind w:firstLine="0" w:firstLineChars="0"/>
            </w:pPr>
            <w:r>
              <w:rPr>
                <w:rFonts w:hint="default"/>
                <w:lang w:val="en-US" w:eastAsia="zh-CN"/>
              </w:rPr>
              <w:t>202</w:t>
            </w:r>
            <w:r>
              <w:rPr>
                <w:rFonts w:hint="eastAsia"/>
                <w:lang w:val="en-US" w:eastAsia="zh-CN"/>
              </w:rPr>
              <w:t>4</w:t>
            </w:r>
            <w:r>
              <w:rPr>
                <w:rFonts w:hint="default"/>
                <w:lang w:val="en-US" w:eastAsia="zh-CN"/>
              </w:rPr>
              <w:t>.</w:t>
            </w:r>
            <w:r>
              <w:rPr>
                <w:rFonts w:hint="eastAsia"/>
                <w:lang w:val="en-US" w:eastAsia="zh-CN"/>
              </w:rPr>
              <w:t>02</w:t>
            </w:r>
            <w:r>
              <w:rPr>
                <w:rFonts w:hint="default"/>
                <w:lang w:val="en-US" w:eastAsia="zh-CN"/>
              </w:rPr>
              <w:t>.</w:t>
            </w:r>
            <w:r>
              <w:rPr>
                <w:rFonts w:hint="eastAsia"/>
                <w:lang w:val="en-US" w:eastAsia="zh-CN"/>
              </w:rPr>
              <w:t>23</w:t>
            </w:r>
          </w:p>
        </w:tc>
        <w:tc>
          <w:tcPr>
            <w:tcW w:w="3284" w:type="dxa"/>
            <w:tcBorders>
              <w:tl2br w:val="nil"/>
              <w:tr2bl w:val="nil"/>
            </w:tcBorders>
            <w:vAlign w:val="center"/>
          </w:tcPr>
          <w:p>
            <w:pPr>
              <w:pStyle w:val="19"/>
              <w:bidi w:val="0"/>
            </w:pPr>
            <w:r>
              <w:rPr>
                <w:rFonts w:hint="eastAsia"/>
                <w:lang w:val="en-US" w:eastAsia="zh-CN"/>
              </w:rPr>
              <w:t>北厂界外1m处</w:t>
            </w:r>
          </w:p>
        </w:tc>
        <w:tc>
          <w:tcPr>
            <w:tcW w:w="1713" w:type="dxa"/>
            <w:tcBorders>
              <w:tl2br w:val="nil"/>
              <w:tr2bl w:val="nil"/>
            </w:tcBorders>
            <w:vAlign w:val="center"/>
          </w:tcPr>
          <w:p>
            <w:pPr>
              <w:pStyle w:val="19"/>
              <w:bidi w:val="0"/>
            </w:pPr>
            <w:r>
              <w:rPr>
                <w:rFonts w:hint="default"/>
                <w:lang w:val="en-US" w:eastAsia="zh-CN"/>
              </w:rPr>
              <w:t>56.5</w:t>
            </w:r>
          </w:p>
        </w:tc>
        <w:tc>
          <w:tcPr>
            <w:tcW w:w="1571" w:type="dxa"/>
            <w:tcBorders>
              <w:tl2br w:val="nil"/>
              <w:tr2bl w:val="nil"/>
            </w:tcBorders>
            <w:vAlign w:val="center"/>
          </w:tcPr>
          <w:p>
            <w:pPr>
              <w:pStyle w:val="19"/>
              <w:bidi w:val="0"/>
            </w:pPr>
            <w:r>
              <w:rPr>
                <w:rFonts w:hint="default"/>
                <w:lang w:val="en-US" w:eastAsia="zh-CN"/>
              </w:rPr>
              <w:t>47.5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079" w:type="dxa"/>
            <w:vMerge w:val="continue"/>
            <w:tcBorders>
              <w:tl2br w:val="nil"/>
              <w:tr2bl w:val="nil"/>
            </w:tcBorders>
            <w:vAlign w:val="center"/>
          </w:tcPr>
          <w:p>
            <w:pPr>
              <w:pStyle w:val="19"/>
              <w:bidi w:val="0"/>
              <w:jc w:val="center"/>
            </w:pPr>
          </w:p>
        </w:tc>
        <w:tc>
          <w:tcPr>
            <w:tcW w:w="3284" w:type="dxa"/>
            <w:tcBorders>
              <w:tl2br w:val="nil"/>
              <w:tr2bl w:val="nil"/>
            </w:tcBorders>
            <w:vAlign w:val="center"/>
          </w:tcPr>
          <w:p>
            <w:pPr>
              <w:pStyle w:val="19"/>
              <w:bidi w:val="0"/>
            </w:pPr>
            <w:r>
              <w:rPr>
                <w:rFonts w:hint="eastAsia"/>
                <w:lang w:val="en-US" w:eastAsia="zh-CN"/>
              </w:rPr>
              <w:t>东厂界外1m处</w:t>
            </w:r>
          </w:p>
        </w:tc>
        <w:tc>
          <w:tcPr>
            <w:tcW w:w="1713" w:type="dxa"/>
            <w:tcBorders>
              <w:tl2br w:val="nil"/>
              <w:tr2bl w:val="nil"/>
            </w:tcBorders>
            <w:vAlign w:val="center"/>
          </w:tcPr>
          <w:p>
            <w:pPr>
              <w:pStyle w:val="19"/>
              <w:bidi w:val="0"/>
            </w:pPr>
            <w:r>
              <w:rPr>
                <w:rFonts w:hint="default"/>
                <w:lang w:val="en-US" w:eastAsia="zh-CN"/>
              </w:rPr>
              <w:t>56.1</w:t>
            </w:r>
          </w:p>
        </w:tc>
        <w:tc>
          <w:tcPr>
            <w:tcW w:w="1571" w:type="dxa"/>
            <w:tcBorders>
              <w:tl2br w:val="nil"/>
              <w:tr2bl w:val="nil"/>
            </w:tcBorders>
            <w:vAlign w:val="center"/>
          </w:tcPr>
          <w:p>
            <w:pPr>
              <w:pStyle w:val="19"/>
              <w:bidi w:val="0"/>
            </w:pPr>
            <w:r>
              <w:rPr>
                <w:rFonts w:hint="default"/>
                <w:lang w:val="en-US" w:eastAsia="zh-CN"/>
              </w:rPr>
              <w:t>45.4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2079" w:type="dxa"/>
            <w:vMerge w:val="continue"/>
            <w:tcBorders>
              <w:tl2br w:val="nil"/>
              <w:tr2bl w:val="nil"/>
            </w:tcBorders>
            <w:vAlign w:val="center"/>
          </w:tcPr>
          <w:p>
            <w:pPr>
              <w:pStyle w:val="19"/>
              <w:bidi w:val="0"/>
              <w:jc w:val="center"/>
            </w:pPr>
          </w:p>
        </w:tc>
        <w:tc>
          <w:tcPr>
            <w:tcW w:w="3284" w:type="dxa"/>
            <w:tcBorders>
              <w:tl2br w:val="nil"/>
              <w:tr2bl w:val="nil"/>
            </w:tcBorders>
            <w:vAlign w:val="center"/>
          </w:tcPr>
          <w:p>
            <w:pPr>
              <w:pStyle w:val="19"/>
              <w:bidi w:val="0"/>
            </w:pPr>
            <w:r>
              <w:rPr>
                <w:rFonts w:hint="eastAsia"/>
                <w:lang w:val="en-US" w:eastAsia="zh-CN"/>
              </w:rPr>
              <w:t>西厂界外1m处</w:t>
            </w:r>
          </w:p>
        </w:tc>
        <w:tc>
          <w:tcPr>
            <w:tcW w:w="1713" w:type="dxa"/>
            <w:tcBorders>
              <w:tl2br w:val="nil"/>
              <w:tr2bl w:val="nil"/>
            </w:tcBorders>
            <w:vAlign w:val="center"/>
          </w:tcPr>
          <w:p>
            <w:pPr>
              <w:pStyle w:val="19"/>
              <w:bidi w:val="0"/>
            </w:pPr>
            <w:r>
              <w:rPr>
                <w:rFonts w:hint="default"/>
                <w:lang w:val="en-US" w:eastAsia="zh-CN"/>
              </w:rPr>
              <w:t>57.4</w:t>
            </w:r>
          </w:p>
        </w:tc>
        <w:tc>
          <w:tcPr>
            <w:tcW w:w="1571" w:type="dxa"/>
            <w:tcBorders>
              <w:tl2br w:val="nil"/>
              <w:tr2bl w:val="nil"/>
            </w:tcBorders>
            <w:vAlign w:val="center"/>
          </w:tcPr>
          <w:p>
            <w:pPr>
              <w:pStyle w:val="19"/>
              <w:bidi w:val="0"/>
              <w:rPr>
                <w:rFonts w:hint="default"/>
                <w:lang w:val="en-US"/>
              </w:rPr>
            </w:pPr>
            <w:r>
              <w:rPr>
                <w:rFonts w:hint="default"/>
                <w:lang w:val="en-US" w:eastAsia="zh-CN"/>
              </w:rPr>
              <w:t>46</w:t>
            </w:r>
            <w:r>
              <w:rPr>
                <w:rFonts w:hint="eastAsia"/>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079" w:type="dxa"/>
            <w:vMerge w:val="continue"/>
            <w:tcBorders>
              <w:tl2br w:val="nil"/>
              <w:tr2bl w:val="nil"/>
            </w:tcBorders>
            <w:vAlign w:val="center"/>
          </w:tcPr>
          <w:p>
            <w:pPr>
              <w:pStyle w:val="19"/>
              <w:bidi w:val="0"/>
              <w:jc w:val="center"/>
            </w:pPr>
          </w:p>
        </w:tc>
        <w:tc>
          <w:tcPr>
            <w:tcW w:w="3284" w:type="dxa"/>
            <w:tcBorders>
              <w:tl2br w:val="nil"/>
              <w:tr2bl w:val="nil"/>
            </w:tcBorders>
            <w:vAlign w:val="center"/>
          </w:tcPr>
          <w:p>
            <w:pPr>
              <w:pStyle w:val="19"/>
              <w:bidi w:val="0"/>
            </w:pPr>
            <w:r>
              <w:rPr>
                <w:rFonts w:hint="eastAsia"/>
                <w:lang w:val="en-US" w:eastAsia="zh-CN"/>
              </w:rPr>
              <w:t>南厂界外1m处</w:t>
            </w:r>
          </w:p>
        </w:tc>
        <w:tc>
          <w:tcPr>
            <w:tcW w:w="1713" w:type="dxa"/>
            <w:tcBorders>
              <w:tl2br w:val="nil"/>
              <w:tr2bl w:val="nil"/>
            </w:tcBorders>
            <w:vAlign w:val="center"/>
          </w:tcPr>
          <w:p>
            <w:pPr>
              <w:pStyle w:val="19"/>
              <w:bidi w:val="0"/>
            </w:pPr>
            <w:r>
              <w:rPr>
                <w:rFonts w:hint="default"/>
                <w:lang w:val="en-US" w:eastAsia="zh-CN"/>
              </w:rPr>
              <w:t>58.1</w:t>
            </w:r>
          </w:p>
        </w:tc>
        <w:tc>
          <w:tcPr>
            <w:tcW w:w="1571" w:type="dxa"/>
            <w:tcBorders>
              <w:tl2br w:val="nil"/>
              <w:tr2bl w:val="nil"/>
            </w:tcBorders>
            <w:vAlign w:val="center"/>
          </w:tcPr>
          <w:p>
            <w:pPr>
              <w:pStyle w:val="19"/>
              <w:bidi w:val="0"/>
            </w:pPr>
            <w:r>
              <w:rPr>
                <w:rFonts w:hint="default"/>
                <w:lang w:val="en-US" w:eastAsia="zh-CN"/>
              </w:rPr>
              <w:t>46.1</w:t>
            </w:r>
          </w:p>
        </w:tc>
      </w:tr>
    </w:tbl>
    <w:p>
      <w:pPr>
        <w:bidi w:val="0"/>
        <w:rPr>
          <w:rFonts w:hint="default" w:ascii="Times New Roman" w:hAnsi="Times New Roman" w:cs="Times New Roman"/>
          <w:lang w:val="en-US" w:eastAsia="zh-CN"/>
        </w:rPr>
      </w:pPr>
      <w:r>
        <w:rPr>
          <w:rFonts w:hint="default" w:ascii="Times New Roman" w:hAnsi="Times New Roman" w:cs="Times New Roman"/>
          <w:lang w:val="en-US" w:eastAsia="zh-CN"/>
        </w:rPr>
        <w:t>根据上表可知，企业厂界昼间噪声值范围为5</w:t>
      </w:r>
      <w:r>
        <w:rPr>
          <w:rFonts w:hint="eastAsia" w:cs="Times New Roman"/>
          <w:lang w:val="en-US" w:eastAsia="zh-CN"/>
        </w:rPr>
        <w:t>6.0</w:t>
      </w:r>
      <w:r>
        <w:rPr>
          <w:rFonts w:hint="default" w:ascii="Times New Roman" w:hAnsi="Times New Roman" w:cs="Times New Roman"/>
          <w:lang w:val="en-US" w:eastAsia="zh-CN"/>
        </w:rPr>
        <w:t>～5</w:t>
      </w:r>
      <w:r>
        <w:rPr>
          <w:rFonts w:hint="eastAsia" w:cs="Times New Roman"/>
          <w:lang w:val="en-US" w:eastAsia="zh-CN"/>
        </w:rPr>
        <w:t>8.1</w:t>
      </w:r>
      <w:r>
        <w:rPr>
          <w:rFonts w:hint="default" w:ascii="Times New Roman" w:hAnsi="Times New Roman" w:cs="Times New Roman"/>
          <w:lang w:val="en-US" w:eastAsia="zh-CN"/>
        </w:rPr>
        <w:t>dB(A)，夜间噪声值范围为</w:t>
      </w:r>
      <w:r>
        <w:rPr>
          <w:rFonts w:hint="eastAsia" w:cs="Times New Roman"/>
          <w:lang w:val="en-US" w:eastAsia="zh-CN"/>
        </w:rPr>
        <w:t>45.0</w:t>
      </w:r>
      <w:r>
        <w:rPr>
          <w:rFonts w:hint="default" w:ascii="Times New Roman" w:hAnsi="Times New Roman" w:cs="Times New Roman"/>
          <w:lang w:val="en-US" w:eastAsia="zh-CN"/>
        </w:rPr>
        <w:t>～4</w:t>
      </w:r>
      <w:r>
        <w:rPr>
          <w:rFonts w:hint="eastAsia" w:cs="Times New Roman"/>
          <w:lang w:val="en-US" w:eastAsia="zh-CN"/>
        </w:rPr>
        <w:t>8.9</w:t>
      </w:r>
      <w:r>
        <w:rPr>
          <w:rFonts w:hint="default" w:ascii="Times New Roman" w:hAnsi="Times New Roman" w:cs="Times New Roman"/>
          <w:lang w:val="en-US" w:eastAsia="zh-CN"/>
        </w:rPr>
        <w:t>dB(A)，厂界噪声能够满足《工业企业厂界环境噪声排放标准》（GB12348-2008）</w:t>
      </w:r>
      <w:r>
        <w:rPr>
          <w:rFonts w:hint="eastAsia" w:cs="Times New Roman"/>
          <w:lang w:val="en-US" w:eastAsia="zh-CN"/>
        </w:rPr>
        <w:t>2</w:t>
      </w:r>
      <w:r>
        <w:rPr>
          <w:rFonts w:hint="default" w:ascii="Times New Roman" w:hAnsi="Times New Roman" w:cs="Times New Roman"/>
          <w:lang w:val="en-US" w:eastAsia="zh-CN"/>
        </w:rPr>
        <w:t>类</w:t>
      </w:r>
      <w:r>
        <w:rPr>
          <w:rFonts w:hint="eastAsia" w:cs="Times New Roman"/>
          <w:lang w:val="en-US" w:eastAsia="zh-CN"/>
        </w:rPr>
        <w:t>【</w:t>
      </w:r>
      <w:r>
        <w:rPr>
          <w:rFonts w:hint="default" w:ascii="Times New Roman" w:hAnsi="Times New Roman" w:cs="Times New Roman"/>
          <w:lang w:val="en-US" w:eastAsia="zh-CN"/>
        </w:rPr>
        <w:t>昼间6</w:t>
      </w:r>
      <w:r>
        <w:rPr>
          <w:rFonts w:hint="eastAsia" w:cs="Times New Roman"/>
          <w:lang w:val="en-US" w:eastAsia="zh-CN"/>
        </w:rPr>
        <w:t>0</w:t>
      </w:r>
      <w:r>
        <w:rPr>
          <w:rFonts w:hint="default" w:ascii="Times New Roman" w:hAnsi="Times New Roman" w:cs="Times New Roman"/>
          <w:lang w:val="en-US" w:eastAsia="zh-CN"/>
        </w:rPr>
        <w:t>dB（A）、夜间5</w:t>
      </w:r>
      <w:r>
        <w:rPr>
          <w:rFonts w:hint="eastAsia" w:cs="Times New Roman"/>
          <w:lang w:val="en-US" w:eastAsia="zh-CN"/>
        </w:rPr>
        <w:t>0</w:t>
      </w:r>
      <w:r>
        <w:rPr>
          <w:rFonts w:hint="default" w:ascii="Times New Roman" w:hAnsi="Times New Roman" w:cs="Times New Roman"/>
          <w:lang w:val="en-US" w:eastAsia="zh-CN"/>
        </w:rPr>
        <w:t>dB（A）</w:t>
      </w:r>
      <w:r>
        <w:rPr>
          <w:rFonts w:hint="eastAsia" w:cs="Times New Roman"/>
          <w:lang w:val="en-US" w:eastAsia="zh-CN"/>
        </w:rPr>
        <w:t>】</w:t>
      </w:r>
      <w:r>
        <w:rPr>
          <w:rFonts w:hint="default" w:ascii="Times New Roman" w:hAnsi="Times New Roman" w:cs="Times New Roman"/>
          <w:lang w:val="en-US" w:eastAsia="zh-CN"/>
        </w:rPr>
        <w:t>标准要求。</w:t>
      </w:r>
    </w:p>
    <w:p>
      <w:pPr>
        <w:pStyle w:val="4"/>
        <w:bidi w:val="0"/>
        <w:rPr>
          <w:rFonts w:hint="default"/>
        </w:rPr>
      </w:pPr>
      <w:bookmarkStart w:id="297" w:name="_Toc1127"/>
      <w:bookmarkStart w:id="298" w:name="_Toc18338"/>
      <w:r>
        <w:rPr>
          <w:rFonts w:hint="default"/>
        </w:rPr>
        <w:t>污染物排放总量核算</w:t>
      </w:r>
      <w:bookmarkEnd w:id="297"/>
      <w:bookmarkEnd w:id="298"/>
    </w:p>
    <w:p>
      <w:pPr>
        <w:bidi w:val="0"/>
        <w:rPr>
          <w:rFonts w:hint="default"/>
          <w:lang w:val="en-US" w:eastAsia="zh-CN"/>
        </w:rPr>
      </w:pPr>
      <w:bookmarkStart w:id="299" w:name="_Toc12297"/>
      <w:bookmarkStart w:id="300" w:name="_Toc31387"/>
      <w:bookmarkStart w:id="301" w:name="_Toc20416"/>
      <w:bookmarkStart w:id="302" w:name="_Toc32755"/>
      <w:r>
        <w:rPr>
          <w:rFonts w:hint="default"/>
          <w:lang w:val="en-US" w:eastAsia="zh-CN"/>
        </w:rPr>
        <w:t>根据监测结果，</w:t>
      </w:r>
      <w:r>
        <w:rPr>
          <w:rFonts w:hint="eastAsia"/>
          <w:lang w:val="en-US" w:eastAsia="zh-CN"/>
        </w:rPr>
        <w:t>本项目（一期）注塑工序非甲烷总烃最大排放速率为0.018kg/h，注塑工序每天工作16h，每年工作250天，检测时生产工况为91%，则全厂满负荷工况下非甲烷总烃实际排放量为0.0791t/a，能够满足环评中非甲烷总烃允许排放量0.0826t/a（产能16.7亿只/年）的要求。</w:t>
      </w:r>
    </w:p>
    <w:bookmarkEnd w:id="299"/>
    <w:bookmarkEnd w:id="300"/>
    <w:bookmarkEnd w:id="301"/>
    <w:bookmarkEnd w:id="302"/>
    <w:p>
      <w:pPr>
        <w:pStyle w:val="2"/>
        <w:bidi w:val="0"/>
        <w:rPr>
          <w:rFonts w:hint="default"/>
        </w:rPr>
      </w:pPr>
      <w:bookmarkStart w:id="303" w:name="_Toc12363"/>
      <w:bookmarkStart w:id="304" w:name="_Toc29473"/>
      <w:bookmarkStart w:id="305" w:name="_Toc6007"/>
      <w:bookmarkStart w:id="306" w:name="_Toc28638"/>
      <w:bookmarkStart w:id="307" w:name="_Toc25028"/>
      <w:bookmarkStart w:id="308" w:name="_Toc15138"/>
      <w:r>
        <w:rPr>
          <w:rFonts w:hint="default"/>
          <w:lang w:eastAsia="zh-CN"/>
        </w:rPr>
        <w:t>验收监测结论</w:t>
      </w:r>
      <w:bookmarkEnd w:id="303"/>
      <w:bookmarkEnd w:id="304"/>
      <w:bookmarkEnd w:id="305"/>
      <w:bookmarkEnd w:id="306"/>
      <w:bookmarkEnd w:id="307"/>
      <w:bookmarkEnd w:id="308"/>
    </w:p>
    <w:p>
      <w:pPr>
        <w:pStyle w:val="3"/>
        <w:bidi w:val="0"/>
        <w:rPr>
          <w:rFonts w:hint="default"/>
        </w:rPr>
      </w:pPr>
      <w:bookmarkStart w:id="309" w:name="_Toc18115"/>
      <w:bookmarkStart w:id="310" w:name="_Toc25194"/>
      <w:bookmarkStart w:id="311" w:name="_Toc17840"/>
      <w:bookmarkStart w:id="312" w:name="_Toc379"/>
      <w:bookmarkStart w:id="313" w:name="_Toc10896"/>
      <w:bookmarkStart w:id="314" w:name="_Toc19667"/>
      <w:bookmarkStart w:id="315" w:name="_Toc8628"/>
      <w:bookmarkStart w:id="316" w:name="_Toc21338"/>
      <w:bookmarkStart w:id="317" w:name="_Toc9188"/>
      <w:bookmarkStart w:id="318" w:name="_Toc21108"/>
      <w:bookmarkStart w:id="319" w:name="_Toc20098"/>
      <w:bookmarkStart w:id="320" w:name="_Toc3253"/>
      <w:r>
        <w:rPr>
          <w:rFonts w:hint="default"/>
        </w:rPr>
        <w:t>环保设施调试</w:t>
      </w:r>
      <w:r>
        <w:rPr>
          <w:rFonts w:hint="default"/>
          <w:lang w:eastAsia="zh-CN"/>
        </w:rPr>
        <w:t>运行</w:t>
      </w:r>
      <w:r>
        <w:rPr>
          <w:rFonts w:hint="default"/>
        </w:rPr>
        <w:t>效果</w:t>
      </w:r>
      <w:bookmarkEnd w:id="309"/>
      <w:bookmarkEnd w:id="310"/>
      <w:bookmarkEnd w:id="311"/>
      <w:bookmarkEnd w:id="312"/>
      <w:bookmarkEnd w:id="313"/>
      <w:bookmarkEnd w:id="314"/>
    </w:p>
    <w:p>
      <w:pPr>
        <w:pStyle w:val="4"/>
        <w:bidi w:val="0"/>
      </w:pPr>
      <w:bookmarkStart w:id="321" w:name="_Toc10272"/>
      <w:bookmarkStart w:id="322" w:name="_Toc24822"/>
      <w:bookmarkStart w:id="323" w:name="_Toc9616"/>
      <w:bookmarkStart w:id="324" w:name="_Toc30568"/>
      <w:bookmarkStart w:id="325" w:name="_Toc24575"/>
      <w:bookmarkStart w:id="326" w:name="_Toc15790"/>
      <w:bookmarkStart w:id="327" w:name="_Toc23144"/>
      <w:r>
        <w:t>环保设施处理效率监测结果</w:t>
      </w:r>
      <w:bookmarkEnd w:id="321"/>
    </w:p>
    <w:p>
      <w:pPr>
        <w:bidi w:val="0"/>
        <w:rPr>
          <w:rFonts w:hint="eastAsia"/>
          <w:lang w:eastAsia="zh-CN"/>
        </w:rPr>
      </w:pPr>
      <w:r>
        <w:rPr>
          <w:b/>
          <w:bCs/>
        </w:rPr>
        <w:t>废气</w:t>
      </w:r>
      <w:r>
        <w:rPr>
          <w:rFonts w:hint="eastAsia"/>
          <w:lang w:eastAsia="zh-CN"/>
        </w:rPr>
        <w:t>：本项目有组织废气非甲烷总烃经处理后最大排放浓度与速率分别为：2.46mg/m</w:t>
      </w:r>
      <w:r>
        <w:rPr>
          <w:rFonts w:hint="eastAsia"/>
          <w:vertAlign w:val="superscript"/>
          <w:lang w:eastAsia="zh-CN"/>
        </w:rPr>
        <w:t>3</w:t>
      </w:r>
      <w:r>
        <w:rPr>
          <w:rFonts w:hint="eastAsia"/>
          <w:lang w:eastAsia="zh-CN"/>
        </w:rPr>
        <w:t>、0.018kg/h，能够满足《合成树脂工业污染物排放标准》（GB 31572-2015）表5特别排放限值60mg/m</w:t>
      </w:r>
      <w:r>
        <w:rPr>
          <w:rFonts w:hint="eastAsia"/>
          <w:vertAlign w:val="superscript"/>
          <w:lang w:eastAsia="zh-CN"/>
        </w:rPr>
        <w:t>3</w:t>
      </w:r>
      <w:r>
        <w:rPr>
          <w:rFonts w:hint="eastAsia"/>
          <w:lang w:val="en-US" w:eastAsia="zh-CN"/>
        </w:rPr>
        <w:t>和</w:t>
      </w:r>
      <w:r>
        <w:rPr>
          <w:rFonts w:hint="eastAsia"/>
          <w:lang w:eastAsia="zh-CN"/>
        </w:rPr>
        <w:t>单位产品非甲烷总烃排放量0.3kg/t的要求，</w:t>
      </w:r>
      <w:r>
        <w:rPr>
          <w:rFonts w:hint="eastAsia"/>
          <w:lang w:val="en-US" w:eastAsia="zh-CN"/>
        </w:rPr>
        <w:t>同时满足</w:t>
      </w:r>
      <w:r>
        <w:rPr>
          <w:rFonts w:hint="eastAsia"/>
          <w:lang w:eastAsia="zh-CN"/>
        </w:rPr>
        <w:t>《河南省重污染天气重点行业应急减排措施制定技术指南（2021年修订版）》中塑料制品行业全厂有组织NMHC 10mg/m</w:t>
      </w:r>
      <w:r>
        <w:rPr>
          <w:rFonts w:hint="eastAsia"/>
          <w:vertAlign w:val="superscript"/>
          <w:lang w:eastAsia="zh-CN"/>
        </w:rPr>
        <w:t>3</w:t>
      </w:r>
      <w:r>
        <w:rPr>
          <w:rFonts w:hint="eastAsia"/>
          <w:lang w:eastAsia="zh-CN"/>
        </w:rPr>
        <w:t>的</w:t>
      </w:r>
      <w:r>
        <w:rPr>
          <w:rFonts w:hint="eastAsia"/>
          <w:lang w:val="en-US" w:eastAsia="zh-CN"/>
        </w:rPr>
        <w:t>限值</w:t>
      </w:r>
      <w:r>
        <w:rPr>
          <w:rFonts w:hint="eastAsia"/>
          <w:lang w:eastAsia="zh-CN"/>
        </w:rPr>
        <w:t>要求。</w:t>
      </w:r>
    </w:p>
    <w:p>
      <w:pPr>
        <w:bidi w:val="0"/>
        <w:rPr>
          <w:rFonts w:hint="eastAsia"/>
          <w:lang w:eastAsia="zh-CN"/>
        </w:rPr>
      </w:pPr>
      <w:r>
        <w:rPr>
          <w:rFonts w:hint="eastAsia"/>
          <w:lang w:val="en-US" w:eastAsia="zh-CN"/>
        </w:rPr>
        <w:t>本项目</w:t>
      </w:r>
      <w:r>
        <w:rPr>
          <w:rFonts w:hint="eastAsia"/>
          <w:lang w:eastAsia="zh-CN"/>
        </w:rPr>
        <w:t>活性炭吸附/脱附-催化燃烧装置去除效率为91.7%，能够满足《关于全省开展工业企业挥发性有机物专项治理工作中排放建议的通知》（豫环攻坚办[2017]162号）中建议去除效率70%的要求。</w:t>
      </w:r>
    </w:p>
    <w:p>
      <w:pPr>
        <w:bidi w:val="0"/>
      </w:pPr>
      <w:r>
        <w:rPr>
          <w:b/>
          <w:bCs/>
        </w:rPr>
        <w:t>噪声</w:t>
      </w:r>
      <w:r>
        <w:t>：环境影响</w:t>
      </w:r>
      <w:r>
        <w:rPr>
          <w:rFonts w:hint="eastAsia"/>
        </w:rPr>
        <w:t>报告</w:t>
      </w:r>
      <w:r>
        <w:rPr>
          <w:rFonts w:hint="eastAsia"/>
          <w:lang w:val="en-US" w:eastAsia="zh-CN"/>
        </w:rPr>
        <w:t>表</w:t>
      </w:r>
      <w:r>
        <w:t>及其审批部门审批决定未对去除效率</w:t>
      </w:r>
      <w:r>
        <w:rPr>
          <w:rFonts w:hint="eastAsia"/>
          <w:lang w:eastAsia="zh-CN"/>
        </w:rPr>
        <w:t>作出</w:t>
      </w:r>
      <w:r>
        <w:t>要求，根据监测结果，厂界噪声能够达到《工业企业厂界环境噪声排放标准》（GB12348-2008）</w:t>
      </w:r>
      <w:r>
        <w:rPr>
          <w:rFonts w:hint="eastAsia"/>
          <w:lang w:val="en-US" w:eastAsia="zh-CN"/>
        </w:rPr>
        <w:t>2</w:t>
      </w:r>
      <w:r>
        <w:t>类标准要求。</w:t>
      </w:r>
    </w:p>
    <w:p>
      <w:pPr>
        <w:bidi w:val="0"/>
      </w:pPr>
      <w:r>
        <w:rPr>
          <w:b/>
          <w:bCs/>
        </w:rPr>
        <w:t>固废</w:t>
      </w:r>
      <w:r>
        <w:t>：环境影响</w:t>
      </w:r>
      <w:r>
        <w:rPr>
          <w:rFonts w:hint="eastAsia"/>
        </w:rPr>
        <w:t>报告</w:t>
      </w:r>
      <w:r>
        <w:rPr>
          <w:rFonts w:hint="eastAsia"/>
          <w:lang w:val="en-US" w:eastAsia="zh-CN"/>
        </w:rPr>
        <w:t>表</w:t>
      </w:r>
      <w:r>
        <w:t>及其审批部门审批决定未对去除效率</w:t>
      </w:r>
      <w:r>
        <w:rPr>
          <w:rFonts w:hint="eastAsia"/>
          <w:lang w:eastAsia="zh-CN"/>
        </w:rPr>
        <w:t>作出</w:t>
      </w:r>
      <w:r>
        <w:t>要求，各固体废物全部得到妥善处理。</w:t>
      </w:r>
    </w:p>
    <w:p>
      <w:pPr>
        <w:pStyle w:val="4"/>
        <w:bidi w:val="0"/>
        <w:rPr>
          <w:rFonts w:hint="default"/>
          <w:lang w:val="en-US" w:eastAsia="zh-CN"/>
        </w:rPr>
      </w:pPr>
      <w:bookmarkStart w:id="328" w:name="_Toc9806"/>
      <w:r>
        <w:rPr>
          <w:rFonts w:hint="default"/>
        </w:rPr>
        <w:t>污染物排放</w:t>
      </w:r>
      <w:r>
        <w:rPr>
          <w:rFonts w:hint="default"/>
          <w:lang w:eastAsia="zh-CN"/>
        </w:rPr>
        <w:t>监测结果</w:t>
      </w:r>
      <w:bookmarkEnd w:id="322"/>
      <w:bookmarkEnd w:id="323"/>
      <w:bookmarkEnd w:id="324"/>
      <w:bookmarkEnd w:id="325"/>
      <w:bookmarkEnd w:id="326"/>
      <w:bookmarkEnd w:id="327"/>
      <w:bookmarkEnd w:id="328"/>
    </w:p>
    <w:p>
      <w:pPr>
        <w:bidi w:val="0"/>
        <w:rPr>
          <w:rFonts w:hint="default"/>
        </w:rPr>
      </w:pPr>
      <w:r>
        <w:rPr>
          <w:rFonts w:hint="eastAsia"/>
          <w:lang w:eastAsia="zh-CN"/>
        </w:rPr>
        <w:t>（</w:t>
      </w:r>
      <w:r>
        <w:rPr>
          <w:rFonts w:hint="default" w:ascii="Times New Roman" w:hAnsi="Times New Roman" w:cs="Times New Roman"/>
          <w:lang w:val="en-US" w:eastAsia="zh-CN"/>
        </w:rPr>
        <w:t>1</w:t>
      </w:r>
      <w:r>
        <w:rPr>
          <w:rFonts w:hint="eastAsia"/>
          <w:lang w:eastAsia="zh-CN"/>
        </w:rPr>
        <w:t>）</w:t>
      </w:r>
      <w:r>
        <w:rPr>
          <w:rFonts w:hint="default"/>
        </w:rPr>
        <w:t>废气</w:t>
      </w:r>
    </w:p>
    <w:p>
      <w:pPr>
        <w:bidi w:val="0"/>
        <w:rPr>
          <w:rFonts w:hint="default"/>
          <w:lang w:eastAsia="zh-CN"/>
        </w:rPr>
      </w:pPr>
      <w:bookmarkStart w:id="329" w:name="_Hlk496998701"/>
      <w:bookmarkStart w:id="330" w:name="_Hlk496998889"/>
      <w:r>
        <w:rPr>
          <w:rFonts w:hint="default"/>
          <w:lang w:eastAsia="zh-CN"/>
        </w:rPr>
        <w:t>验收监测期间废气排放情况</w:t>
      </w:r>
      <w:r>
        <w:rPr>
          <w:rFonts w:hint="eastAsia"/>
          <w:lang w:val="en-US" w:eastAsia="zh-CN"/>
        </w:rPr>
        <w:t>如下</w:t>
      </w:r>
      <w:r>
        <w:rPr>
          <w:rFonts w:hint="default"/>
          <w:lang w:eastAsia="zh-CN"/>
        </w:rPr>
        <w:t>：</w:t>
      </w:r>
    </w:p>
    <w:bookmarkEnd w:id="329"/>
    <w:p>
      <w:pPr>
        <w:bidi w:val="0"/>
        <w:rPr>
          <w:rFonts w:hint="eastAsia"/>
          <w:lang w:eastAsia="zh-CN"/>
        </w:rPr>
      </w:pPr>
      <w:r>
        <w:rPr>
          <w:rFonts w:hint="eastAsia"/>
          <w:lang w:val="en-US" w:eastAsia="zh-CN"/>
        </w:rPr>
        <w:t>①</w:t>
      </w:r>
      <w:r>
        <w:rPr>
          <w:rFonts w:hint="eastAsia"/>
          <w:lang w:eastAsia="zh-CN"/>
        </w:rPr>
        <w:t>本项目有组织废气非甲烷总烃经处理后最大排放浓度与速率分别为：2.46mg/m</w:t>
      </w:r>
      <w:r>
        <w:rPr>
          <w:rFonts w:hint="eastAsia"/>
          <w:vertAlign w:val="superscript"/>
          <w:lang w:eastAsia="zh-CN"/>
        </w:rPr>
        <w:t>3</w:t>
      </w:r>
      <w:r>
        <w:rPr>
          <w:rFonts w:hint="eastAsia"/>
          <w:lang w:eastAsia="zh-CN"/>
        </w:rPr>
        <w:t>、0.018kg/h，能够满足《合成树脂工业污染物排放标准》（GB 31572-2015）表5特别排放限值60mg/m</w:t>
      </w:r>
      <w:r>
        <w:rPr>
          <w:rFonts w:hint="eastAsia"/>
          <w:vertAlign w:val="superscript"/>
          <w:lang w:eastAsia="zh-CN"/>
        </w:rPr>
        <w:t>3</w:t>
      </w:r>
      <w:r>
        <w:rPr>
          <w:rFonts w:hint="eastAsia"/>
          <w:lang w:val="en-US" w:eastAsia="zh-CN"/>
        </w:rPr>
        <w:t>和</w:t>
      </w:r>
      <w:r>
        <w:rPr>
          <w:rFonts w:hint="eastAsia"/>
          <w:lang w:eastAsia="zh-CN"/>
        </w:rPr>
        <w:t>单位产品非甲烷总烃排放量0.3kg/t的要求，</w:t>
      </w:r>
      <w:r>
        <w:rPr>
          <w:rFonts w:hint="eastAsia"/>
          <w:lang w:val="en-US" w:eastAsia="zh-CN"/>
        </w:rPr>
        <w:t>同时满足</w:t>
      </w:r>
      <w:r>
        <w:rPr>
          <w:rFonts w:hint="eastAsia"/>
          <w:lang w:eastAsia="zh-CN"/>
        </w:rPr>
        <w:t>《河南省重污染天气重点行业应急减排措施制定技术指南（2021年修订版）》中塑料制品行业全厂有组织NMHC 10mg/m</w:t>
      </w:r>
      <w:r>
        <w:rPr>
          <w:rFonts w:hint="eastAsia"/>
          <w:vertAlign w:val="superscript"/>
          <w:lang w:eastAsia="zh-CN"/>
        </w:rPr>
        <w:t>3</w:t>
      </w:r>
      <w:r>
        <w:rPr>
          <w:rFonts w:hint="eastAsia"/>
          <w:lang w:eastAsia="zh-CN"/>
        </w:rPr>
        <w:t>的</w:t>
      </w:r>
      <w:r>
        <w:rPr>
          <w:rFonts w:hint="eastAsia"/>
          <w:lang w:val="en-US" w:eastAsia="zh-CN"/>
        </w:rPr>
        <w:t>限值</w:t>
      </w:r>
      <w:r>
        <w:rPr>
          <w:rFonts w:hint="eastAsia"/>
          <w:lang w:eastAsia="zh-CN"/>
        </w:rPr>
        <w:t>要求。</w:t>
      </w:r>
    </w:p>
    <w:p>
      <w:pPr>
        <w:bidi w:val="0"/>
        <w:rPr>
          <w:rFonts w:hint="eastAsia"/>
          <w:lang w:val="en-US" w:eastAsia="zh-CN"/>
        </w:rPr>
      </w:pPr>
      <w:r>
        <w:rPr>
          <w:rFonts w:hint="eastAsia"/>
          <w:lang w:val="en-US" w:eastAsia="zh-CN"/>
        </w:rPr>
        <w:t>活性炭吸附/脱附-催化燃烧装置去除效率为91.7%，能够满足《关于全省开展工业企业挥发性有机物专项治理工作中排放建议的通知》（豫环攻坚办[2017]162号）中建议去除效率70%的要求。</w:t>
      </w:r>
    </w:p>
    <w:p>
      <w:pPr>
        <w:bidi w:val="0"/>
        <w:rPr>
          <w:rFonts w:hint="default"/>
          <w:lang w:eastAsia="zh-CN"/>
        </w:rPr>
      </w:pPr>
      <w:bookmarkStart w:id="341" w:name="_GoBack"/>
      <w:bookmarkEnd w:id="341"/>
      <w:r>
        <w:rPr>
          <w:rFonts w:hint="eastAsia"/>
          <w:lang w:val="en-US" w:eastAsia="zh-CN"/>
        </w:rPr>
        <w:t>②</w:t>
      </w:r>
      <w:r>
        <w:rPr>
          <w:rFonts w:hint="default"/>
          <w:lang w:val="en-US" w:eastAsia="zh-CN"/>
        </w:rPr>
        <w:t>厂界无组织</w:t>
      </w:r>
      <w:r>
        <w:rPr>
          <w:rFonts w:hint="eastAsia"/>
          <w:lang w:val="en-US" w:eastAsia="zh-CN"/>
        </w:rPr>
        <w:t>非甲烷总烃</w:t>
      </w:r>
      <w:r>
        <w:rPr>
          <w:rFonts w:hint="default"/>
          <w:lang w:val="en-US" w:eastAsia="zh-CN"/>
        </w:rPr>
        <w:t>最大排放浓度为</w:t>
      </w:r>
      <w:r>
        <w:rPr>
          <w:rFonts w:hint="eastAsia"/>
          <w:lang w:val="en-US" w:eastAsia="zh-CN"/>
        </w:rPr>
        <w:t>1.49</w:t>
      </w:r>
      <w:r>
        <w:rPr>
          <w:rFonts w:hint="default"/>
        </w:rPr>
        <w:t>mg/</w:t>
      </w:r>
      <w:r>
        <w:rPr>
          <w:rFonts w:hint="default"/>
          <w:lang w:eastAsia="zh-CN"/>
        </w:rPr>
        <w:t>m</w:t>
      </w:r>
      <w:r>
        <w:rPr>
          <w:rFonts w:hint="default"/>
          <w:vertAlign w:val="superscript"/>
          <w:lang w:eastAsia="zh-CN"/>
        </w:rPr>
        <w:t>3</w:t>
      </w:r>
      <w:r>
        <w:rPr>
          <w:rFonts w:hint="eastAsia"/>
          <w:lang w:eastAsia="zh-CN"/>
        </w:rPr>
        <w:t>，</w:t>
      </w:r>
      <w:r>
        <w:rPr>
          <w:rFonts w:hint="eastAsia"/>
          <w:lang w:val="en-US" w:eastAsia="zh-CN"/>
        </w:rPr>
        <w:t>能够</w:t>
      </w:r>
      <w:r>
        <w:rPr>
          <w:rFonts w:hint="default"/>
          <w:lang w:val="en-US" w:eastAsia="zh-CN"/>
        </w:rPr>
        <w:t>满足</w:t>
      </w:r>
      <w:r>
        <w:rPr>
          <w:rFonts w:hint="default"/>
        </w:rPr>
        <w:t>《关于全省开展工业企业挥发性有机物专项治理工作中排放建议的通知》（豫环攻坚办[2017]162号）工业企业边界挥发性有机物排放建议值</w:t>
      </w:r>
      <w:r>
        <w:rPr>
          <w:rFonts w:hint="eastAsia"/>
          <w:lang w:val="en-US" w:eastAsia="zh-CN"/>
        </w:rPr>
        <w:t>非甲烷总烃（其他企业）2.0</w:t>
      </w:r>
      <w:r>
        <w:rPr>
          <w:rFonts w:hint="default"/>
        </w:rPr>
        <w:t>mg/</w:t>
      </w:r>
      <w:r>
        <w:rPr>
          <w:rFonts w:hint="default"/>
          <w:lang w:eastAsia="zh-CN"/>
        </w:rPr>
        <w:t>m</w:t>
      </w:r>
      <w:r>
        <w:rPr>
          <w:rFonts w:hint="default"/>
          <w:vertAlign w:val="superscript"/>
          <w:lang w:eastAsia="zh-CN"/>
        </w:rPr>
        <w:t>3</w:t>
      </w:r>
      <w:r>
        <w:rPr>
          <w:rFonts w:hint="eastAsia"/>
          <w:lang w:eastAsia="zh-CN"/>
        </w:rPr>
        <w:t>限值</w:t>
      </w:r>
      <w:r>
        <w:rPr>
          <w:rFonts w:hint="default"/>
        </w:rPr>
        <w:t>要求</w:t>
      </w:r>
      <w:r>
        <w:rPr>
          <w:rFonts w:hint="eastAsia"/>
          <w:lang w:eastAsia="zh-CN"/>
        </w:rPr>
        <w:t>。</w:t>
      </w:r>
    </w:p>
    <w:bookmarkEnd w:id="330"/>
    <w:p>
      <w:pPr>
        <w:bidi w:val="0"/>
        <w:rPr>
          <w:rFonts w:hint="default"/>
        </w:rPr>
      </w:pPr>
      <w:r>
        <w:rPr>
          <w:rFonts w:hint="eastAsia"/>
          <w:lang w:eastAsia="zh-CN"/>
        </w:rPr>
        <w:t>（</w:t>
      </w:r>
      <w:r>
        <w:rPr>
          <w:rFonts w:hint="eastAsia" w:cs="Times New Roman"/>
          <w:lang w:val="en-US" w:eastAsia="zh-CN"/>
        </w:rPr>
        <w:t>2</w:t>
      </w:r>
      <w:r>
        <w:rPr>
          <w:rFonts w:hint="eastAsia"/>
          <w:lang w:eastAsia="zh-CN"/>
        </w:rPr>
        <w:t>）</w:t>
      </w:r>
      <w:r>
        <w:rPr>
          <w:rFonts w:hint="default"/>
        </w:rPr>
        <w:t>噪声</w:t>
      </w:r>
    </w:p>
    <w:p>
      <w:pPr>
        <w:bidi w:val="0"/>
        <w:rPr>
          <w:rFonts w:hint="default" w:ascii="Times New Roman" w:hAnsi="Times New Roman" w:cs="Times New Roman"/>
          <w:lang w:val="en-US" w:eastAsia="zh-CN"/>
        </w:rPr>
      </w:pPr>
      <w:r>
        <w:rPr>
          <w:rFonts w:hint="default"/>
          <w:lang w:val="en-US" w:eastAsia="zh-CN"/>
        </w:rPr>
        <w:t>本项目噪声主要</w:t>
      </w:r>
      <w:r>
        <w:rPr>
          <w:rFonts w:hint="eastAsia"/>
          <w:lang w:val="en-US" w:eastAsia="zh-CN"/>
        </w:rPr>
        <w:t>来自</w:t>
      </w:r>
      <w:r>
        <w:rPr>
          <w:rFonts w:hint="default"/>
          <w:lang w:val="en-US" w:eastAsia="zh-CN"/>
        </w:rPr>
        <w:t>设备运行，采取设备安装减振基础、车间隔声等措施后，由监测结果可知，</w:t>
      </w:r>
      <w:r>
        <w:rPr>
          <w:rFonts w:hint="default" w:ascii="Times New Roman" w:hAnsi="Times New Roman" w:cs="Times New Roman"/>
          <w:lang w:val="en-US" w:eastAsia="zh-CN"/>
        </w:rPr>
        <w:t>企业厂界昼间噪声值范围为5</w:t>
      </w:r>
      <w:r>
        <w:rPr>
          <w:rFonts w:hint="eastAsia" w:cs="Times New Roman"/>
          <w:lang w:val="en-US" w:eastAsia="zh-CN"/>
        </w:rPr>
        <w:t>6.0</w:t>
      </w:r>
      <w:r>
        <w:rPr>
          <w:rFonts w:hint="default" w:ascii="Times New Roman" w:hAnsi="Times New Roman" w:cs="Times New Roman"/>
          <w:lang w:val="en-US" w:eastAsia="zh-CN"/>
        </w:rPr>
        <w:t>～5</w:t>
      </w:r>
      <w:r>
        <w:rPr>
          <w:rFonts w:hint="eastAsia" w:cs="Times New Roman"/>
          <w:lang w:val="en-US" w:eastAsia="zh-CN"/>
        </w:rPr>
        <w:t>8.1</w:t>
      </w:r>
      <w:r>
        <w:rPr>
          <w:rFonts w:hint="default" w:ascii="Times New Roman" w:hAnsi="Times New Roman" w:cs="Times New Roman"/>
          <w:lang w:val="en-US" w:eastAsia="zh-CN"/>
        </w:rPr>
        <w:t>dB(A)，夜间噪声值范围为</w:t>
      </w:r>
      <w:r>
        <w:rPr>
          <w:rFonts w:hint="eastAsia" w:cs="Times New Roman"/>
          <w:lang w:val="en-US" w:eastAsia="zh-CN"/>
        </w:rPr>
        <w:t>45.0</w:t>
      </w:r>
      <w:r>
        <w:rPr>
          <w:rFonts w:hint="default" w:ascii="Times New Roman" w:hAnsi="Times New Roman" w:cs="Times New Roman"/>
          <w:lang w:val="en-US" w:eastAsia="zh-CN"/>
        </w:rPr>
        <w:t>～4</w:t>
      </w:r>
      <w:r>
        <w:rPr>
          <w:rFonts w:hint="eastAsia" w:cs="Times New Roman"/>
          <w:lang w:val="en-US" w:eastAsia="zh-CN"/>
        </w:rPr>
        <w:t>8.9</w:t>
      </w:r>
      <w:r>
        <w:rPr>
          <w:rFonts w:hint="default" w:ascii="Times New Roman" w:hAnsi="Times New Roman" w:cs="Times New Roman"/>
          <w:lang w:val="en-US" w:eastAsia="zh-CN"/>
        </w:rPr>
        <w:t>dB(A)，厂界噪声能够满足《工业企业厂界环境噪声排放标准》（GB12348-2008）</w:t>
      </w:r>
      <w:r>
        <w:rPr>
          <w:rFonts w:hint="eastAsia" w:cs="Times New Roman"/>
          <w:lang w:val="en-US" w:eastAsia="zh-CN"/>
        </w:rPr>
        <w:t>2</w:t>
      </w:r>
      <w:r>
        <w:rPr>
          <w:rFonts w:hint="default" w:ascii="Times New Roman" w:hAnsi="Times New Roman" w:cs="Times New Roman"/>
          <w:lang w:val="en-US" w:eastAsia="zh-CN"/>
        </w:rPr>
        <w:t>类</w:t>
      </w:r>
      <w:r>
        <w:rPr>
          <w:rFonts w:hint="eastAsia" w:cs="Times New Roman"/>
          <w:lang w:val="en-US" w:eastAsia="zh-CN"/>
        </w:rPr>
        <w:t>【</w:t>
      </w:r>
      <w:r>
        <w:rPr>
          <w:rFonts w:hint="default" w:ascii="Times New Roman" w:hAnsi="Times New Roman" w:cs="Times New Roman"/>
          <w:lang w:val="en-US" w:eastAsia="zh-CN"/>
        </w:rPr>
        <w:t>昼间6</w:t>
      </w:r>
      <w:r>
        <w:rPr>
          <w:rFonts w:hint="eastAsia" w:cs="Times New Roman"/>
          <w:lang w:val="en-US" w:eastAsia="zh-CN"/>
        </w:rPr>
        <w:t>0</w:t>
      </w:r>
      <w:r>
        <w:rPr>
          <w:rFonts w:hint="default" w:ascii="Times New Roman" w:hAnsi="Times New Roman" w:cs="Times New Roman"/>
          <w:lang w:val="en-US" w:eastAsia="zh-CN"/>
        </w:rPr>
        <w:t>dB（A）、夜间5</w:t>
      </w:r>
      <w:r>
        <w:rPr>
          <w:rFonts w:hint="eastAsia" w:cs="Times New Roman"/>
          <w:lang w:val="en-US" w:eastAsia="zh-CN"/>
        </w:rPr>
        <w:t>0</w:t>
      </w:r>
      <w:r>
        <w:rPr>
          <w:rFonts w:hint="default" w:ascii="Times New Roman" w:hAnsi="Times New Roman" w:cs="Times New Roman"/>
          <w:lang w:val="en-US" w:eastAsia="zh-CN"/>
        </w:rPr>
        <w:t>dB（A）</w:t>
      </w:r>
      <w:r>
        <w:rPr>
          <w:rFonts w:hint="eastAsia" w:cs="Times New Roman"/>
          <w:lang w:val="en-US" w:eastAsia="zh-CN"/>
        </w:rPr>
        <w:t>】</w:t>
      </w:r>
      <w:r>
        <w:rPr>
          <w:rFonts w:hint="default" w:ascii="Times New Roman" w:hAnsi="Times New Roman" w:cs="Times New Roman"/>
          <w:lang w:val="en-US" w:eastAsia="zh-CN"/>
        </w:rPr>
        <w:t>标准要求。</w:t>
      </w:r>
    </w:p>
    <w:p>
      <w:pPr>
        <w:bidi w:val="0"/>
        <w:rPr>
          <w:rFonts w:hint="default"/>
        </w:rPr>
      </w:pPr>
      <w:r>
        <w:rPr>
          <w:rFonts w:hint="eastAsia"/>
          <w:lang w:eastAsia="zh-CN"/>
        </w:rPr>
        <w:t>（</w:t>
      </w:r>
      <w:r>
        <w:rPr>
          <w:rFonts w:hint="eastAsia" w:cs="Times New Roman"/>
          <w:lang w:val="en-US" w:eastAsia="zh-CN"/>
        </w:rPr>
        <w:t>3</w:t>
      </w:r>
      <w:r>
        <w:rPr>
          <w:rFonts w:hint="eastAsia"/>
          <w:lang w:eastAsia="zh-CN"/>
        </w:rPr>
        <w:t>）</w:t>
      </w:r>
      <w:r>
        <w:rPr>
          <w:rFonts w:hint="default"/>
        </w:rPr>
        <w:t>固体废物</w:t>
      </w:r>
    </w:p>
    <w:p>
      <w:pPr>
        <w:bidi w:val="0"/>
        <w:rPr>
          <w:rFonts w:hint="eastAsia"/>
          <w:lang w:val="en-US" w:eastAsia="zh-CN"/>
        </w:rPr>
      </w:pPr>
      <w:r>
        <w:rPr>
          <w:rFonts w:hint="eastAsia"/>
          <w:lang w:val="en-US" w:eastAsia="zh-CN"/>
        </w:rPr>
        <w:t>本项目产生的固体废物有一般固体废物和危险废物。一般固体废物主要是废包装袋、不合格产品及废边角料。其中废包装袋于一般固废暂存间暂存后，定期外售；不合格产品及废边角料直接回用于投料工序。危险废物主要是液压设备更换下来的液压油、废气治理过程中产</w:t>
      </w:r>
      <w:r>
        <w:rPr>
          <w:rFonts w:hint="eastAsia"/>
          <w:color w:val="auto"/>
          <w:lang w:val="en-US" w:eastAsia="zh-CN"/>
        </w:rPr>
        <w:t>生的废活性炭和废催化剂，在危废暂存间暂存后定期由新乡威斯特环保科技有限公司收集处理。</w:t>
      </w:r>
    </w:p>
    <w:p>
      <w:pPr>
        <w:bidi w:val="0"/>
      </w:pPr>
      <w:r>
        <w:rPr>
          <w:rFonts w:hint="eastAsia"/>
          <w:lang w:val="en-US" w:eastAsia="zh-CN"/>
        </w:rPr>
        <w:t>本项目固废不外排，不会造成二次污染。</w:t>
      </w:r>
    </w:p>
    <w:p>
      <w:pPr>
        <w:numPr>
          <w:ilvl w:val="0"/>
          <w:numId w:val="0"/>
        </w:numPr>
        <w:bidi w:val="0"/>
        <w:ind w:firstLine="480" w:firstLineChars="200"/>
        <w:rPr>
          <w:rFonts w:hint="eastAsia"/>
          <w:lang w:val="en-US" w:eastAsia="zh-CN"/>
        </w:rPr>
      </w:pPr>
      <w:r>
        <w:rPr>
          <w:rFonts w:hint="eastAsia"/>
          <w:lang w:val="en-US" w:eastAsia="zh-CN"/>
        </w:rPr>
        <w:t>（4）总量</w:t>
      </w:r>
    </w:p>
    <w:p>
      <w:pPr>
        <w:bidi w:val="0"/>
        <w:rPr>
          <w:rFonts w:hint="default"/>
          <w:color w:val="FF0000"/>
          <w:lang w:val="en-US" w:eastAsia="zh-CN"/>
        </w:rPr>
      </w:pPr>
      <w:r>
        <w:rPr>
          <w:rFonts w:hint="eastAsia"/>
          <w:lang w:val="en-US" w:eastAsia="zh-CN"/>
        </w:rPr>
        <w:t>本项目（一期）注塑工序非甲烷总烃最大排放速率为0.018kg/h，注塑工序每天工作16h，每年工作250天，检测时生产工况为91%，则全厂满负荷工况下非甲烷总烃实际排放量为0.0791t/a，能够满足环评中非甲烷总烃允许排放量0.0826t/a（产能16.7亿只/年）的要求。</w:t>
      </w:r>
    </w:p>
    <w:p>
      <w:pPr>
        <w:pStyle w:val="3"/>
        <w:bidi w:val="0"/>
        <w:rPr>
          <w:rFonts w:hint="eastAsia"/>
          <w:lang w:val="en-US" w:eastAsia="zh-CN"/>
        </w:rPr>
      </w:pPr>
      <w:bookmarkStart w:id="331" w:name="_Toc30711"/>
      <w:bookmarkStart w:id="332" w:name="_Toc497001504"/>
      <w:r>
        <w:rPr>
          <w:rFonts w:hint="eastAsia"/>
          <w:lang w:val="en-US" w:eastAsia="zh-CN"/>
        </w:rPr>
        <w:t>环境管理检查结论</w:t>
      </w:r>
      <w:bookmarkEnd w:id="331"/>
    </w:p>
    <w:p>
      <w:pPr>
        <w:bidi w:val="0"/>
        <w:rPr>
          <w:rFonts w:hint="eastAsia"/>
          <w:lang w:val="en-US" w:eastAsia="zh-CN"/>
        </w:rPr>
      </w:pPr>
      <w:r>
        <w:rPr>
          <w:rFonts w:hint="eastAsia"/>
          <w:lang w:val="en-US" w:eastAsia="zh-CN"/>
        </w:rPr>
        <w:t>项目严格执行了“三同时”制度；公司按照有关规定制定了环境保护工作责任制、垃圾分类管理制度、危险废物管理制度和危险事故防范措施及应急预案等相关环境保护管理制度；废气、废水、固废、噪声等均按照要求建设，且正常运行，定期对相关设施进行维护；同时建设废水在线监测设备，并与生态环境局联网。</w:t>
      </w:r>
    </w:p>
    <w:p>
      <w:pPr>
        <w:pStyle w:val="3"/>
        <w:bidi w:val="0"/>
        <w:rPr>
          <w:rFonts w:hint="eastAsia"/>
          <w:lang w:val="en-US" w:eastAsia="zh-CN"/>
        </w:rPr>
      </w:pPr>
      <w:bookmarkStart w:id="333" w:name="_Toc26897"/>
      <w:r>
        <w:rPr>
          <w:rFonts w:hint="eastAsia"/>
          <w:lang w:val="en-US" w:eastAsia="zh-CN"/>
        </w:rPr>
        <w:t>总结论</w:t>
      </w:r>
      <w:bookmarkEnd w:id="333"/>
    </w:p>
    <w:p>
      <w:pPr>
        <w:bidi w:val="0"/>
        <w:rPr>
          <w:rFonts w:hint="default"/>
          <w:lang w:val="en-US" w:eastAsia="zh-CN"/>
        </w:rPr>
      </w:pPr>
      <w:r>
        <w:rPr>
          <w:rFonts w:hint="eastAsia"/>
          <w:lang w:val="en-US" w:eastAsia="zh-CN"/>
        </w:rPr>
        <w:t>新乡市鸿鹄电子科技有限公司年产50亿只密封圈项目（一期）符合国家产业政策，具有一定的环境经济效益。项目选址位于河南省新乡市凤泉区新乡市新能源电池专业园区，选址符合规划，各项污染物经治理后能够实现达标排放，固废处置措施可行，对周围环境影响较小，满足验收要求。</w:t>
      </w:r>
    </w:p>
    <w:bookmarkEnd w:id="315"/>
    <w:bookmarkEnd w:id="316"/>
    <w:bookmarkEnd w:id="317"/>
    <w:bookmarkEnd w:id="318"/>
    <w:bookmarkEnd w:id="319"/>
    <w:bookmarkEnd w:id="320"/>
    <w:bookmarkEnd w:id="332"/>
    <w:p>
      <w:pPr>
        <w:pStyle w:val="2"/>
        <w:bidi w:val="0"/>
        <w:rPr>
          <w:rFonts w:hint="default"/>
        </w:rPr>
      </w:pPr>
      <w:bookmarkStart w:id="334" w:name="_Toc17262"/>
      <w:r>
        <w:rPr>
          <w:rFonts w:hint="default"/>
        </w:rPr>
        <w:t>建设项目竣工环境保护</w:t>
      </w:r>
      <w:r>
        <w:rPr>
          <w:rFonts w:hint="eastAsia"/>
          <w:lang w:eastAsia="zh-CN"/>
        </w:rPr>
        <w:t>“</w:t>
      </w:r>
      <w:r>
        <w:rPr>
          <w:rFonts w:hint="default"/>
        </w:rPr>
        <w:t>三同时</w:t>
      </w:r>
      <w:r>
        <w:rPr>
          <w:rFonts w:hint="eastAsia"/>
          <w:lang w:eastAsia="zh-CN"/>
        </w:rPr>
        <w:t>”</w:t>
      </w:r>
      <w:r>
        <w:rPr>
          <w:rFonts w:hint="default"/>
        </w:rPr>
        <w:t>验收登记表</w:t>
      </w:r>
      <w:bookmarkEnd w:id="334"/>
    </w:p>
    <w:p>
      <w:pPr>
        <w:bidi w:val="0"/>
        <w:rPr>
          <w:rFonts w:hint="default" w:ascii="Times New Roman" w:hAnsi="Times New Roman" w:eastAsia="宋体" w:cs="Times New Roman"/>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eastAsia="zh-CN"/>
        </w:rPr>
        <w:t>具体内容如下表</w:t>
      </w:r>
      <w:r>
        <w:rPr>
          <w:rFonts w:hint="eastAsia"/>
          <w:lang w:eastAsia="zh-CN"/>
        </w:rPr>
        <w:t>：</w:t>
      </w:r>
      <w:r>
        <w:rPr>
          <w:rFonts w:hint="default" w:ascii="Times New Roman" w:hAnsi="Times New Roman" w:eastAsia="宋体" w:cs="Times New Roman"/>
          <w:szCs w:val="24"/>
          <w:highlight w:val="yellow"/>
        </w:rPr>
        <w:br w:type="page"/>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黑体" w:hAnsi="黑体" w:eastAsia="黑体" w:cs="黑体"/>
          <w:sz w:val="21"/>
          <w:szCs w:val="21"/>
          <w:highlight w:val="yellow"/>
        </w:rPr>
      </w:pPr>
      <w:bookmarkStart w:id="335" w:name="_Toc4135"/>
      <w:bookmarkStart w:id="336" w:name="_Toc1406"/>
      <w:bookmarkStart w:id="337" w:name="_Toc16740"/>
      <w:bookmarkStart w:id="338" w:name="_Toc1493"/>
      <w:bookmarkStart w:id="339" w:name="_Toc8022"/>
      <w:bookmarkStart w:id="340" w:name="_Toc15646"/>
      <w:r>
        <w:rPr>
          <w:rFonts w:hint="eastAsia" w:ascii="黑体" w:hAnsi="黑体" w:eastAsia="黑体" w:cs="黑体"/>
          <w:color w:val="auto"/>
          <w:sz w:val="21"/>
          <w:szCs w:val="21"/>
          <w:highlight w:val="none"/>
        </w:rPr>
        <w:t>建设项目</w:t>
      </w:r>
      <w:r>
        <w:rPr>
          <w:rFonts w:hint="eastAsia" w:ascii="黑体" w:hAnsi="黑体" w:eastAsia="黑体" w:cs="黑体"/>
          <w:color w:val="auto"/>
          <w:sz w:val="21"/>
          <w:szCs w:val="21"/>
          <w:highlight w:val="none"/>
          <w:lang w:val="en-US" w:eastAsia="zh-CN"/>
        </w:rPr>
        <w:t>竣工</w:t>
      </w:r>
      <w:r>
        <w:rPr>
          <w:rFonts w:hint="eastAsia" w:ascii="黑体" w:hAnsi="黑体" w:eastAsia="黑体" w:cs="黑体"/>
          <w:color w:val="auto"/>
          <w:sz w:val="21"/>
          <w:szCs w:val="21"/>
          <w:highlight w:val="none"/>
        </w:rPr>
        <w:t>环境保护“三同时”验收</w:t>
      </w:r>
      <w:r>
        <w:rPr>
          <w:rFonts w:hint="eastAsia" w:ascii="黑体" w:hAnsi="黑体" w:eastAsia="黑体" w:cs="黑体"/>
          <w:color w:val="auto"/>
          <w:sz w:val="21"/>
          <w:szCs w:val="21"/>
          <w:highlight w:val="none"/>
          <w:lang w:val="en-US" w:eastAsia="zh-CN"/>
        </w:rPr>
        <w:t>登记</w:t>
      </w:r>
      <w:r>
        <w:rPr>
          <w:rFonts w:hint="eastAsia" w:ascii="黑体" w:hAnsi="黑体" w:eastAsia="黑体" w:cs="黑体"/>
          <w:color w:val="auto"/>
          <w:sz w:val="21"/>
          <w:szCs w:val="21"/>
          <w:highlight w:val="none"/>
          <w:lang w:eastAsia="zh-CN"/>
        </w:rPr>
        <w:t>表</w:t>
      </w:r>
      <w:bookmarkEnd w:id="335"/>
      <w:bookmarkEnd w:id="336"/>
      <w:bookmarkEnd w:id="337"/>
      <w:bookmarkEnd w:id="338"/>
      <w:bookmarkEnd w:id="339"/>
      <w:bookmarkEnd w:id="340"/>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b/>
          <w:bCs/>
          <w:sz w:val="21"/>
          <w:szCs w:val="18"/>
          <w:highlight w:val="yellow"/>
        </w:rPr>
      </w:pPr>
      <w:r>
        <w:rPr>
          <w:rFonts w:hint="default" w:ascii="Times New Roman" w:hAnsi="Times New Roman" w:eastAsia="宋体" w:cs="Times New Roman"/>
          <w:b/>
          <w:bCs/>
          <w:color w:val="auto"/>
          <w:sz w:val="21"/>
          <w:szCs w:val="18"/>
          <w:highlight w:val="none"/>
        </w:rPr>
        <w:t>填表单位（盖章）：</w:t>
      </w:r>
      <w:r>
        <w:rPr>
          <w:rFonts w:hint="eastAsia" w:cs="Times New Roman"/>
          <w:b/>
          <w:bCs/>
          <w:color w:val="auto"/>
          <w:sz w:val="21"/>
          <w:szCs w:val="18"/>
          <w:highlight w:val="none"/>
          <w:lang w:val="en-US" w:eastAsia="zh-CN"/>
        </w:rPr>
        <w:t>新乡市鸿鹄电子科技有限公司</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000000" w:themeColor="text1"/>
          <w:sz w:val="21"/>
          <w:szCs w:val="18"/>
          <w:highlight w:val="none"/>
          <w14:textFill>
            <w14:solidFill>
              <w14:schemeClr w14:val="tx1"/>
            </w14:solidFill>
          </w14:textFill>
        </w:rPr>
        <w:t>填表人（签字）：                            项目经办人（签字）：</w:t>
      </w:r>
    </w:p>
    <w:tbl>
      <w:tblPr>
        <w:tblStyle w:val="16"/>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181"/>
        <w:gridCol w:w="615"/>
        <w:gridCol w:w="828"/>
        <w:gridCol w:w="1379"/>
        <w:gridCol w:w="1097"/>
        <w:gridCol w:w="987"/>
        <w:gridCol w:w="6"/>
        <w:gridCol w:w="511"/>
        <w:gridCol w:w="588"/>
        <w:gridCol w:w="1137"/>
        <w:gridCol w:w="186"/>
        <w:gridCol w:w="1003"/>
        <w:gridCol w:w="1593"/>
        <w:gridCol w:w="1027"/>
        <w:gridCol w:w="690"/>
        <w:gridCol w:w="554"/>
        <w:gridCol w:w="690"/>
        <w:gridCol w:w="412"/>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noWrap w:val="0"/>
            <w:tcMar>
              <w:left w:w="57" w:type="dxa"/>
              <w:right w:w="57" w:type="dxa"/>
            </w:tcMar>
            <w:textDirection w:val="tbRlV"/>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建设项目</w:t>
            </w: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项目名称</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新乡市鸿鹄电子科技有限公司年产50亿只密封圈项目（一期）</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项目代码</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eastAsia="zh-CN"/>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2304-410704-04-01-519743</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建设地点</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eastAsia="微软雅黑" w:cs="Times New Roman"/>
                <w:b/>
                <w:bCs/>
                <w:color w:val="000000" w:themeColor="text1"/>
                <w:sz w:val="15"/>
                <w:szCs w:val="15"/>
                <w:lang w:eastAsia="zh-CN"/>
                <w14:textFill>
                  <w14:solidFill>
                    <w14:schemeClr w14:val="tx1"/>
                  </w14:solidFill>
                </w14:textFill>
              </w:rPr>
              <w:t>河南省新乡市凤泉区新乡市新能源电池专业园区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行业类别（分类管理名录）</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二十六、“橡胶和塑料制品29”：第53条“塑料制品业292”</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建设性质</w:t>
            </w:r>
          </w:p>
        </w:tc>
        <w:tc>
          <w:tcPr>
            <w:tcW w:w="4313"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eastAsia="微软雅黑" w:cs="Times New Roman"/>
                <w:b/>
                <w:bCs/>
                <w:color w:val="000000" w:themeColor="text1"/>
                <w:sz w:val="15"/>
                <w:szCs w:val="15"/>
                <w:lang w:eastAsia="zh-CN"/>
                <w14:textFill>
                  <w14:solidFill>
                    <w14:schemeClr w14:val="tx1"/>
                  </w14:solidFill>
                </w14:textFill>
              </w:rPr>
              <w:t>☑</w:t>
            </w:r>
            <w:r>
              <w:rPr>
                <w:rFonts w:hint="eastAsia" w:ascii="Times New Roman" w:hAnsi="Times New Roman" w:eastAsia="微软雅黑" w:cs="Times New Roman"/>
                <w:b/>
                <w:bCs/>
                <w:color w:val="000000" w:themeColor="text1"/>
                <w:sz w:val="15"/>
                <w:szCs w:val="15"/>
                <w14:textFill>
                  <w14:solidFill>
                    <w14:schemeClr w14:val="tx1"/>
                  </w14:solidFill>
                </w14:textFill>
              </w:rPr>
              <w:t xml:space="preserve">新建  </w:t>
            </w:r>
            <w:r>
              <w:rPr>
                <w:rFonts w:hint="eastAsia" w:eastAsia="微软雅黑" w:cs="Times New Roman"/>
                <w:b/>
                <w:bCs/>
                <w:color w:val="000000" w:themeColor="text1"/>
                <w:sz w:val="15"/>
                <w:szCs w:val="15"/>
                <w:lang w:eastAsia="zh-CN"/>
                <w14:textFill>
                  <w14:solidFill>
                    <w14:schemeClr w14:val="tx1"/>
                  </w14:solidFill>
                </w14:textFill>
              </w:rPr>
              <w:t>□</w:t>
            </w:r>
            <w:r>
              <w:rPr>
                <w:rFonts w:hint="eastAsia" w:ascii="Times New Roman" w:hAnsi="Times New Roman" w:eastAsia="微软雅黑" w:cs="Times New Roman"/>
                <w:b/>
                <w:bCs/>
                <w:color w:val="000000" w:themeColor="text1"/>
                <w:sz w:val="15"/>
                <w:szCs w:val="15"/>
                <w14:textFill>
                  <w14:solidFill>
                    <w14:schemeClr w14:val="tx1"/>
                  </w14:solidFill>
                </w14:textFill>
              </w:rPr>
              <w:t xml:space="preserve"> 改扩建  </w:t>
            </w:r>
            <w:r>
              <w:rPr>
                <w:rFonts w:hint="eastAsia" w:ascii="Times New Roman" w:hAnsi="Times New Roman" w:eastAsia="微软雅黑" w:cs="Times New Roman"/>
                <w:b/>
                <w:bCs/>
                <w:color w:val="000000" w:themeColor="text1"/>
                <w:sz w:val="15"/>
                <w:szCs w:val="15"/>
                <w14:textFill>
                  <w14:solidFill>
                    <w14:schemeClr w14:val="tx1"/>
                  </w14:solidFill>
                </w14:textFill>
              </w:rPr>
              <w:sym w:font="Wingdings 2" w:char="00A3"/>
            </w:r>
            <w:r>
              <w:rPr>
                <w:rFonts w:hint="eastAsia" w:ascii="Times New Roman" w:hAnsi="Times New Roman" w:eastAsia="微软雅黑" w:cs="Times New Roman"/>
                <w:b/>
                <w:bCs/>
                <w:color w:val="000000" w:themeColor="text1"/>
                <w:sz w:val="15"/>
                <w:szCs w:val="15"/>
                <w14:textFill>
                  <w14:solidFill>
                    <w14:schemeClr w14:val="tx1"/>
                  </w14:solidFill>
                </w14:textFill>
              </w:rPr>
              <w:t>技术改造</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项目厂区中心经度/纬度</w:t>
            </w:r>
          </w:p>
        </w:tc>
        <w:tc>
          <w:tcPr>
            <w:tcW w:w="120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E</w:t>
            </w:r>
            <w:r>
              <w:rPr>
                <w:rFonts w:hint="eastAsia" w:ascii="Times New Roman" w:hAnsi="Times New Roman" w:eastAsia="微软雅黑" w:cs="Times New Roman"/>
                <w:b/>
                <w:bCs/>
                <w:color w:val="000000" w:themeColor="text1"/>
                <w:sz w:val="15"/>
                <w:szCs w:val="15"/>
                <w:lang w:eastAsia="zh-CN"/>
                <w14:textFill>
                  <w14:solidFill>
                    <w14:schemeClr w14:val="tx1"/>
                  </w14:solidFill>
                </w14:textFill>
              </w:rPr>
              <w:t>113.874822°</w:t>
            </w: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N</w:t>
            </w:r>
            <w:r>
              <w:rPr>
                <w:rFonts w:hint="eastAsia" w:ascii="Times New Roman" w:hAnsi="Times New Roman" w:eastAsia="微软雅黑" w:cs="Times New Roman"/>
                <w:b/>
                <w:bCs/>
                <w:color w:val="000000" w:themeColor="text1"/>
                <w:sz w:val="15"/>
                <w:szCs w:val="15"/>
                <w:lang w:eastAsia="zh-CN"/>
                <w14:textFill>
                  <w14:solidFill>
                    <w14:schemeClr w14:val="tx1"/>
                  </w14:solidFill>
                </w14:textFill>
              </w:rPr>
              <w:t>35.379879°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设计生产能力</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16.7亿只/年</w:t>
            </w:r>
            <w:r>
              <w:rPr>
                <w:rFonts w:hint="eastAsia" w:eastAsia="微软雅黑" w:cs="Times New Roman"/>
                <w:b/>
                <w:bCs/>
                <w:color w:val="000000" w:themeColor="text1"/>
                <w:sz w:val="15"/>
                <w:szCs w:val="15"/>
                <w:lang w:val="en-US" w:eastAsia="zh-CN"/>
                <w14:textFill>
                  <w14:solidFill>
                    <w14:schemeClr w14:val="tx1"/>
                  </w14:solidFill>
                </w14:textFill>
              </w:rPr>
              <w:t>密封圈（一期）</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实际生产能力</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16.7亿只/年</w:t>
            </w:r>
            <w:r>
              <w:rPr>
                <w:rFonts w:hint="eastAsia" w:eastAsia="微软雅黑" w:cs="Times New Roman"/>
                <w:b/>
                <w:bCs/>
                <w:color w:val="000000" w:themeColor="text1"/>
                <w:sz w:val="15"/>
                <w:szCs w:val="15"/>
                <w:lang w:val="en-US" w:eastAsia="zh-CN"/>
                <w14:textFill>
                  <w14:solidFill>
                    <w14:schemeClr w14:val="tx1"/>
                  </w14:solidFill>
                </w14:textFill>
              </w:rPr>
              <w:t>密封圈（一期）</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环评单位</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lang w:eastAsia="zh-CN"/>
                <w14:textFill>
                  <w14:solidFill>
                    <w14:schemeClr w14:val="tx1"/>
                  </w14:solidFill>
                </w14:textFill>
              </w:rPr>
              <w:t>新乡市世青环境技术有限公司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环评文件审批机关</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新乡市生态环境局凤泉分局（原新乡市生态环境局凤泉分局）</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审批文号</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凤环审[2023]15号</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环评文件类型</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default" w:ascii="Times New Roman" w:hAnsi="Times New Roman" w:eastAsia="微软雅黑" w:cs="Times New Roman"/>
                <w:b/>
                <w:bCs/>
                <w:color w:val="000000" w:themeColor="text1"/>
                <w:sz w:val="15"/>
                <w:szCs w:val="15"/>
                <w14:textFill>
                  <w14:solidFill>
                    <w14:schemeClr w14:val="tx1"/>
                  </w14:solidFill>
                </w14:textFill>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开工日期</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202</w:t>
            </w:r>
            <w:r>
              <w:rPr>
                <w:rFonts w:hint="eastAsia" w:eastAsia="微软雅黑" w:cs="Times New Roman"/>
                <w:b/>
                <w:bCs/>
                <w:color w:val="000000" w:themeColor="text1"/>
                <w:sz w:val="15"/>
                <w:szCs w:val="15"/>
                <w:lang w:val="en-US" w:eastAsia="zh-CN"/>
                <w14:textFill>
                  <w14:solidFill>
                    <w14:schemeClr w14:val="tx1"/>
                  </w14:solidFill>
                </w14:textFill>
              </w:rPr>
              <w:t>3</w:t>
            </w: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年</w:t>
            </w:r>
            <w:r>
              <w:rPr>
                <w:rFonts w:hint="eastAsia" w:eastAsia="微软雅黑" w:cs="Times New Roman"/>
                <w:b/>
                <w:bCs/>
                <w:color w:val="000000" w:themeColor="text1"/>
                <w:sz w:val="15"/>
                <w:szCs w:val="15"/>
                <w:lang w:val="en-US" w:eastAsia="zh-CN"/>
                <w14:textFill>
                  <w14:solidFill>
                    <w14:schemeClr w14:val="tx1"/>
                  </w14:solidFill>
                </w14:textFill>
              </w:rPr>
              <w:t>9</w:t>
            </w: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月</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竣工日期</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t>20</w:t>
            </w: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2</w:t>
            </w:r>
            <w:r>
              <w:rPr>
                <w:rFonts w:hint="eastAsia" w:eastAsia="微软雅黑" w:cs="Times New Roman"/>
                <w:b/>
                <w:bCs/>
                <w:color w:val="000000" w:themeColor="text1"/>
                <w:sz w:val="15"/>
                <w:szCs w:val="15"/>
                <w:lang w:val="en-US" w:eastAsia="zh-CN"/>
                <w14:textFill>
                  <w14:solidFill>
                    <w14:schemeClr w14:val="tx1"/>
                  </w14:solidFill>
                </w14:textFill>
              </w:rPr>
              <w:t>4</w:t>
            </w:r>
            <w:r>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t>年</w:t>
            </w:r>
            <w:r>
              <w:rPr>
                <w:rFonts w:hint="eastAsia" w:eastAsia="微软雅黑" w:cs="Times New Roman"/>
                <w:b/>
                <w:bCs/>
                <w:color w:val="000000" w:themeColor="text1"/>
                <w:sz w:val="15"/>
                <w:szCs w:val="15"/>
                <w:lang w:val="en-US" w:eastAsia="zh-CN"/>
                <w14:textFill>
                  <w14:solidFill>
                    <w14:schemeClr w14:val="tx1"/>
                  </w14:solidFill>
                </w14:textFill>
              </w:rPr>
              <w:t>1</w:t>
            </w:r>
            <w:r>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t>月</w:t>
            </w:r>
            <w:r>
              <w:rPr>
                <w:rFonts w:hint="eastAsia" w:eastAsia="微软雅黑" w:cs="Times New Roman"/>
                <w:b/>
                <w:bCs/>
                <w:color w:val="000000" w:themeColor="text1"/>
                <w:sz w:val="15"/>
                <w:szCs w:val="15"/>
                <w:lang w:val="en-US" w:eastAsia="zh-CN"/>
                <w14:textFill>
                  <w14:solidFill>
                    <w14:schemeClr w14:val="tx1"/>
                  </w14:solidFill>
                </w14:textFill>
              </w:rPr>
              <w:t>10</w:t>
            </w: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日</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排污许可证申领时间</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2024年1月29日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环保设施设计单位</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环保设施施工单位</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t>/</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本工程排污许可证编号</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91410721MA481UKY4N001X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验收单位</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新乡市鸿鹄电子科技有限公司</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环保设施监测单位</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lang w:eastAsia="zh-CN"/>
                <w14:textFill>
                  <w14:solidFill>
                    <w14:schemeClr w14:val="tx1"/>
                  </w14:solidFill>
                </w14:textFill>
              </w:rPr>
            </w:pPr>
            <w:r>
              <w:rPr>
                <w:rFonts w:hint="eastAsia" w:eastAsia="微软雅黑" w:cs="Times New Roman"/>
                <w:b/>
                <w:bCs/>
                <w:color w:val="000000" w:themeColor="text1"/>
                <w:sz w:val="15"/>
                <w:szCs w:val="15"/>
                <w:lang w:eastAsia="zh-CN"/>
                <w14:textFill>
                  <w14:solidFill>
                    <w14:schemeClr w14:val="tx1"/>
                  </w14:solidFill>
                </w14:textFill>
              </w:rPr>
              <w:t>河南鑫成环测检测技术有限公司</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验收监测时工况</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89</w:t>
            </w:r>
            <w:r>
              <w:rPr>
                <w:rFonts w:hint="eastAsia" w:eastAsia="微软雅黑" w:cs="Times New Roman"/>
                <w:b/>
                <w:bCs/>
                <w:color w:val="000000" w:themeColor="text1"/>
                <w:sz w:val="15"/>
                <w:szCs w:val="15"/>
                <w:lang w:eastAsia="zh-CN"/>
                <w14:textFill>
                  <w14:solidFill>
                    <w14:schemeClr w14:val="tx1"/>
                  </w14:solidFill>
                </w14:textFill>
              </w:rPr>
              <w:t>%～9</w:t>
            </w:r>
            <w:r>
              <w:rPr>
                <w:rFonts w:hint="eastAsia" w:eastAsia="微软雅黑" w:cs="Times New Roman"/>
                <w:b/>
                <w:bCs/>
                <w:color w:val="000000" w:themeColor="text1"/>
                <w:sz w:val="15"/>
                <w:szCs w:val="15"/>
                <w:lang w:val="en-US" w:eastAsia="zh-CN"/>
                <w14:textFill>
                  <w14:solidFill>
                    <w14:schemeClr w14:val="tx1"/>
                  </w14:solidFill>
                </w14:textFill>
              </w:rPr>
              <w:t>1</w:t>
            </w:r>
            <w:r>
              <w:rPr>
                <w:rFonts w:hint="eastAsia" w:eastAsia="微软雅黑" w:cs="Times New Roman"/>
                <w:b/>
                <w:bCs/>
                <w:color w:val="000000" w:themeColor="text1"/>
                <w:sz w:val="15"/>
                <w:szCs w:val="15"/>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ascii="Times New Roman" w:hAnsi="Times New Roman" w:eastAsia="微软雅黑" w:cs="Times New Roman"/>
                <w:b/>
                <w:bCs/>
                <w:sz w:val="15"/>
                <w:szCs w:val="15"/>
              </w:rPr>
              <w:t>投资总概算（万元）</w:t>
            </w:r>
            <w:r>
              <w:rPr>
                <w:rFonts w:hint="eastAsia" w:eastAsia="微软雅黑" w:cs="Times New Roman"/>
                <w:b/>
                <w:bCs/>
                <w:sz w:val="15"/>
                <w:szCs w:val="15"/>
                <w:lang w:eastAsia="zh-CN"/>
              </w:rPr>
              <w:t>（</w:t>
            </w:r>
            <w:r>
              <w:rPr>
                <w:rFonts w:hint="eastAsia" w:eastAsia="微软雅黑" w:cs="Times New Roman"/>
                <w:b/>
                <w:bCs/>
                <w:sz w:val="15"/>
                <w:szCs w:val="15"/>
                <w:lang w:val="en-US" w:eastAsia="zh-CN"/>
              </w:rPr>
              <w:t>一期</w:t>
            </w:r>
            <w:r>
              <w:rPr>
                <w:rFonts w:hint="eastAsia" w:eastAsia="微软雅黑" w:cs="Times New Roman"/>
                <w:b/>
                <w:bCs/>
                <w:sz w:val="15"/>
                <w:szCs w:val="15"/>
                <w:lang w:eastAsia="zh-CN"/>
              </w:rPr>
              <w:t>）</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10000</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环保投资总概算（万元）</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30</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所占比例（%）</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ascii="Times New Roman" w:hAnsi="Times New Roman" w:eastAsia="微软雅黑" w:cs="Times New Roman"/>
                <w:b/>
                <w:bCs/>
                <w:sz w:val="15"/>
                <w:szCs w:val="15"/>
              </w:rPr>
              <w:t>实际总投资</w:t>
            </w:r>
            <w:r>
              <w:rPr>
                <w:rFonts w:hint="eastAsia" w:eastAsia="微软雅黑" w:cs="Times New Roman"/>
                <w:b/>
                <w:bCs/>
                <w:sz w:val="15"/>
                <w:szCs w:val="15"/>
                <w:lang w:eastAsia="zh-CN"/>
              </w:rPr>
              <w:t>（</w:t>
            </w:r>
            <w:r>
              <w:rPr>
                <w:rFonts w:hint="eastAsia" w:eastAsia="微软雅黑" w:cs="Times New Roman"/>
                <w:b/>
                <w:bCs/>
                <w:sz w:val="15"/>
                <w:szCs w:val="15"/>
                <w:lang w:val="en-US" w:eastAsia="zh-CN"/>
              </w:rPr>
              <w:t>一期</w:t>
            </w:r>
            <w:r>
              <w:rPr>
                <w:rFonts w:hint="eastAsia" w:eastAsia="微软雅黑" w:cs="Times New Roman"/>
                <w:b/>
                <w:bCs/>
                <w:sz w:val="15"/>
                <w:szCs w:val="15"/>
                <w:lang w:eastAsia="zh-CN"/>
              </w:rPr>
              <w:t>）</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500</w:t>
            </w:r>
          </w:p>
        </w:tc>
        <w:tc>
          <w:tcPr>
            <w:tcW w:w="2428" w:type="dxa"/>
            <w:gridSpan w:val="5"/>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实际环保投资（万元）</w:t>
            </w:r>
          </w:p>
        </w:tc>
        <w:tc>
          <w:tcPr>
            <w:tcW w:w="25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25</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color w:val="000000" w:themeColor="text1"/>
                <w:sz w:val="15"/>
                <w:szCs w:val="15"/>
                <w14:textFill>
                  <w14:solidFill>
                    <w14:schemeClr w14:val="tx1"/>
                  </w14:solidFill>
                </w14:textFill>
              </w:rPr>
            </w:pPr>
            <w:r>
              <w:rPr>
                <w:rFonts w:hint="eastAsia" w:ascii="Times New Roman" w:hAnsi="Times New Roman" w:eastAsia="微软雅黑" w:cs="Times New Roman"/>
                <w:b/>
                <w:bCs/>
                <w:color w:val="000000" w:themeColor="text1"/>
                <w:sz w:val="15"/>
                <w:szCs w:val="15"/>
                <w14:textFill>
                  <w14:solidFill>
                    <w14:schemeClr w14:val="tx1"/>
                  </w14:solidFill>
                </w14:textFill>
              </w:rPr>
              <w:t>所占比例（%）</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color w:val="000000" w:themeColor="text1"/>
                <w:sz w:val="15"/>
                <w:szCs w:val="15"/>
                <w:lang w:val="en-US" w:eastAsia="zh-CN"/>
                <w14:textFill>
                  <w14:solidFill>
                    <w14:schemeClr w14:val="tx1"/>
                  </w14:solidFill>
                </w14:textFill>
              </w:rPr>
            </w:pPr>
            <w:r>
              <w:rPr>
                <w:rFonts w:hint="eastAsia" w:eastAsia="微软雅黑" w:cs="Times New Roman"/>
                <w:b/>
                <w:bCs/>
                <w:color w:val="000000" w:themeColor="text1"/>
                <w:sz w:val="15"/>
                <w:szCs w:val="15"/>
                <w:lang w:val="en-US" w:eastAsia="zh-CN"/>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废水治理（万元）</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废气治理（万元）</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20</w:t>
            </w:r>
          </w:p>
        </w:tc>
        <w:tc>
          <w:tcPr>
            <w:tcW w:w="150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噪声治理（万元）</w:t>
            </w:r>
          </w:p>
        </w:tc>
        <w:tc>
          <w:tcPr>
            <w:tcW w:w="58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w:t>
            </w:r>
          </w:p>
        </w:tc>
        <w:tc>
          <w:tcPr>
            <w:tcW w:w="2326"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固体废物治理（万元）</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绿化及生态（万元）</w:t>
            </w:r>
          </w:p>
        </w:tc>
        <w:tc>
          <w:tcPr>
            <w:tcW w:w="55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其他（万元）</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新增废水处理设施能力</w:t>
            </w:r>
          </w:p>
        </w:tc>
        <w:tc>
          <w:tcPr>
            <w:tcW w:w="5396" w:type="dxa"/>
            <w:gridSpan w:val="7"/>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2326" w:type="dxa"/>
            <w:gridSpan w:val="3"/>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新增废气处理设施能力</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年平均工作</w:t>
            </w:r>
            <w:r>
              <w:rPr>
                <w:rFonts w:hint="eastAsia" w:eastAsia="微软雅黑" w:cs="Times New Roman"/>
                <w:b/>
                <w:bCs/>
                <w:sz w:val="15"/>
                <w:szCs w:val="15"/>
                <w:lang w:eastAsia="zh-CN"/>
              </w:rPr>
              <w:t>时间</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4000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w:t>
            </w:r>
          </w:p>
        </w:tc>
        <w:tc>
          <w:tcPr>
            <w:tcW w:w="4291"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新乡市鸿鹄电子科技有限公司</w:t>
            </w:r>
          </w:p>
        </w:tc>
        <w:tc>
          <w:tcPr>
            <w:tcW w:w="3431" w:type="dxa"/>
            <w:gridSpan w:val="6"/>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运营单位社会统一信用代码（或组织机构代码）</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91410721MA481UKY4N</w:t>
            </w:r>
          </w:p>
        </w:tc>
        <w:tc>
          <w:tcPr>
            <w:tcW w:w="1717"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验收时间</w:t>
            </w:r>
          </w:p>
        </w:tc>
        <w:tc>
          <w:tcPr>
            <w:tcW w:w="2450" w:type="dxa"/>
            <w:gridSpan w:val="4"/>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color w:val="auto"/>
                <w:sz w:val="15"/>
                <w:szCs w:val="15"/>
                <w:lang w:val="en-US" w:eastAsia="zh-CN"/>
              </w:rPr>
              <w:t>2024.1-2024.3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物排</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放达</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标与</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总量</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控制（工</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业建</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设项</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目详填）</w:t>
            </w: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污染物</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原有排</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放量(1)</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本期工程实际排放浓度(2)</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本期工程允许排放浓度(3)</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本期工程产生量(4)</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本期工程自身削减量(5)</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本期工程实际排放量(6)</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本期工程核定排放总量(7)</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本期工程“以新带老”削减量(8)</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全厂实际排放总量(9)</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全厂核定排放总量(10)</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区域平衡替代削减量(11)</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废水</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化学需氧量</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氨氮</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石油类</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废气</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二氧化硫</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烟尘</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颗粒物</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氮氧化物</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工业固体废物</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181" w:type="dxa"/>
            <w:vMerge w:val="restart"/>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与项目有关的其他特征污染物</w:t>
            </w:r>
          </w:p>
        </w:tc>
        <w:tc>
          <w:tcPr>
            <w:tcW w:w="615"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非甲烷总烃</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2.46</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10</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0.0791</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0.0826</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0.0791</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0.2478</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+0.0791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598" w:type="dxa"/>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181" w:type="dxa"/>
            <w:vMerge w:val="continue"/>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615"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828"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bl>
    <w:p>
      <w:pPr>
        <w:bidi w:val="0"/>
        <w:ind w:left="0" w:leftChars="0" w:firstLine="0" w:firstLineChars="0"/>
      </w:pPr>
      <w:r>
        <w:rPr>
          <w:rFonts w:hint="eastAsia" w:ascii="Times New Roman" w:hAnsi="Times New Roman" w:eastAsia="宋体" w:cs="Times New Roman"/>
          <w:color w:val="auto"/>
          <w:sz w:val="18"/>
          <w:szCs w:val="15"/>
          <w:highlight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-171450</wp:posOffset>
                </wp:positionH>
                <wp:positionV relativeFrom="paragraph">
                  <wp:posOffset>224790</wp:posOffset>
                </wp:positionV>
                <wp:extent cx="9905365" cy="414020"/>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7.7pt;height:32.6pt;width:779.95pt;z-index:251661312;v-text-anchor:middle;mso-width-relative:page;mso-height-relative:page;" filled="f" stroked="f" coordsize="21600,21600" o:gfxdata="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qNX2/ZAAAACwEAAA8AAAAAAAAAAQAgAAAAIgAAAGRycy9kb3ducmV2&#10;LnhtbFBLAQIUABQAAAAIAIdO4kAcYHc5bQIAALoEAAAOAAAAAAAAAAEAIAAAACgBAABkcnMvZTJv&#10;RG9jLnhtbFBLBQYAAAAABgAGAFkBAAAHBg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pPr>
                        <w:jc w:val="center"/>
                      </w:pPr>
                    </w:p>
                  </w:txbxContent>
                </v:textbox>
              </v:rect>
            </w:pict>
          </mc:Fallback>
        </mc:AlternateContent>
      </w:r>
    </w:p>
    <w:sectPr>
      <w:pgSz w:w="16838" w:h="11906" w:orient="landscape"/>
      <w:pgMar w:top="720" w:right="720" w:bottom="720" w:left="720" w:header="851"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left="0" w:leftChars="0" w:firstLine="0" w:firstLineChars="0"/>
      <w:jc w:val="both"/>
    </w:pPr>
  </w:p>
  <w:p>
    <w:pPr>
      <w:tabs>
        <w:tab w:val="center" w:pos="4153"/>
        <w:tab w:val="right" w:pos="8306"/>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p>
    <w:pPr>
      <w:tabs>
        <w:tab w:val="center" w:pos="4153"/>
        <w:tab w:val="right" w:pos="8306"/>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tabs>
                        <w:tab w:val="center" w:pos="4153"/>
                        <w:tab w:val="right" w:pos="8306"/>
                      </w:tabs>
                      <w:rPr>
                        <w:rFonts w:hint="default" w:eastAsiaTheme="minorEastAsia"/>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3FC527"/>
    <w:multiLevelType w:val="multilevel"/>
    <w:tmpl w:val="D63FC527"/>
    <w:lvl w:ilvl="0" w:tentative="0">
      <w:start w:val="1"/>
      <w:numFmt w:val="decimal"/>
      <w:pStyle w:val="24"/>
      <w:lvlText w:val="图%1"/>
      <w:lvlJc w:val="left"/>
      <w:pPr>
        <w:ind w:left="440" w:hanging="440"/>
      </w:pPr>
      <w:rPr>
        <w:rFonts w:hint="default"/>
        <w:vertAlign w:val="baseli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E58F62CE"/>
    <w:multiLevelType w:val="multilevel"/>
    <w:tmpl w:val="E58F62CE"/>
    <w:lvl w:ilvl="0" w:tentative="0">
      <w:start w:val="1"/>
      <w:numFmt w:val="decimal"/>
      <w:pStyle w:val="20"/>
      <w:lvlText w:val="表%1"/>
      <w:lvlJc w:val="left"/>
      <w:pPr>
        <w:tabs>
          <w:tab w:val="left" w:pos="0"/>
        </w:tabs>
        <w:ind w:left="0" w:leftChars="0" w:firstLine="0" w:firstLineChars="0"/>
      </w:pPr>
      <w:rPr>
        <w:rFonts w:hint="default" w:ascii="Times New Roman" w:hAnsi="Times New Roman"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61E0C31"/>
    <w:multiLevelType w:val="multilevel"/>
    <w:tmpl w:val="261E0C31"/>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MWU1Yjc3Zjk2ZWFmZGI1YTEzNTM0NTM2NDNmNWUifQ=="/>
  </w:docVars>
  <w:rsids>
    <w:rsidRoot w:val="27FD7DB6"/>
    <w:rsid w:val="00040B71"/>
    <w:rsid w:val="005574C8"/>
    <w:rsid w:val="005A56CB"/>
    <w:rsid w:val="00654166"/>
    <w:rsid w:val="00A16FE2"/>
    <w:rsid w:val="00A609AB"/>
    <w:rsid w:val="00BE4E1D"/>
    <w:rsid w:val="00D97966"/>
    <w:rsid w:val="0109689F"/>
    <w:rsid w:val="013B3CA4"/>
    <w:rsid w:val="015E1092"/>
    <w:rsid w:val="01D47621"/>
    <w:rsid w:val="01DB5D41"/>
    <w:rsid w:val="020E364B"/>
    <w:rsid w:val="02135FE8"/>
    <w:rsid w:val="021A4578"/>
    <w:rsid w:val="0227318B"/>
    <w:rsid w:val="02280207"/>
    <w:rsid w:val="022B0D66"/>
    <w:rsid w:val="02344027"/>
    <w:rsid w:val="028F26EA"/>
    <w:rsid w:val="02CA1157"/>
    <w:rsid w:val="02CE246D"/>
    <w:rsid w:val="02D02616"/>
    <w:rsid w:val="02D154AC"/>
    <w:rsid w:val="02D54924"/>
    <w:rsid w:val="02D818AD"/>
    <w:rsid w:val="02E66A80"/>
    <w:rsid w:val="030F52BB"/>
    <w:rsid w:val="031235BB"/>
    <w:rsid w:val="03302F7D"/>
    <w:rsid w:val="03322FD8"/>
    <w:rsid w:val="03575F49"/>
    <w:rsid w:val="03BC5E69"/>
    <w:rsid w:val="03D41080"/>
    <w:rsid w:val="040F5AE1"/>
    <w:rsid w:val="0434515F"/>
    <w:rsid w:val="047A71CD"/>
    <w:rsid w:val="048A1A86"/>
    <w:rsid w:val="04910CE2"/>
    <w:rsid w:val="04965824"/>
    <w:rsid w:val="04CD272A"/>
    <w:rsid w:val="04DD3E04"/>
    <w:rsid w:val="05076467"/>
    <w:rsid w:val="0530264D"/>
    <w:rsid w:val="0536218C"/>
    <w:rsid w:val="05607A03"/>
    <w:rsid w:val="05613043"/>
    <w:rsid w:val="059B4EEA"/>
    <w:rsid w:val="05A50638"/>
    <w:rsid w:val="05AB0C88"/>
    <w:rsid w:val="05B50C0D"/>
    <w:rsid w:val="0609596A"/>
    <w:rsid w:val="062154EE"/>
    <w:rsid w:val="062418B7"/>
    <w:rsid w:val="06352B3C"/>
    <w:rsid w:val="06BF1B73"/>
    <w:rsid w:val="0711706C"/>
    <w:rsid w:val="072F1D3E"/>
    <w:rsid w:val="07362E5F"/>
    <w:rsid w:val="07576088"/>
    <w:rsid w:val="07A12019"/>
    <w:rsid w:val="07AD2986"/>
    <w:rsid w:val="07DA62A1"/>
    <w:rsid w:val="07FF75E5"/>
    <w:rsid w:val="081A26AF"/>
    <w:rsid w:val="08305E5E"/>
    <w:rsid w:val="0870581B"/>
    <w:rsid w:val="08825CB3"/>
    <w:rsid w:val="088712C0"/>
    <w:rsid w:val="089A6553"/>
    <w:rsid w:val="08B03504"/>
    <w:rsid w:val="08B20206"/>
    <w:rsid w:val="08B57723"/>
    <w:rsid w:val="08B86557"/>
    <w:rsid w:val="08E37B2C"/>
    <w:rsid w:val="09267AF2"/>
    <w:rsid w:val="09357A62"/>
    <w:rsid w:val="09456110"/>
    <w:rsid w:val="09562AEB"/>
    <w:rsid w:val="09640779"/>
    <w:rsid w:val="096E03B2"/>
    <w:rsid w:val="0987012F"/>
    <w:rsid w:val="09D75072"/>
    <w:rsid w:val="09E33D53"/>
    <w:rsid w:val="0A154F7C"/>
    <w:rsid w:val="0A311AA0"/>
    <w:rsid w:val="0A534949"/>
    <w:rsid w:val="0A6D5EE7"/>
    <w:rsid w:val="0AAB022A"/>
    <w:rsid w:val="0AC81BF1"/>
    <w:rsid w:val="0AE575EF"/>
    <w:rsid w:val="0AF03208"/>
    <w:rsid w:val="0AFB4839"/>
    <w:rsid w:val="0B154CAD"/>
    <w:rsid w:val="0B2E50C3"/>
    <w:rsid w:val="0B483E64"/>
    <w:rsid w:val="0B651BBF"/>
    <w:rsid w:val="0B781611"/>
    <w:rsid w:val="0B7E53C2"/>
    <w:rsid w:val="0B9A4561"/>
    <w:rsid w:val="0BAA3BAF"/>
    <w:rsid w:val="0BAF5E34"/>
    <w:rsid w:val="0BEC0E2E"/>
    <w:rsid w:val="0BEC38EB"/>
    <w:rsid w:val="0C1173D6"/>
    <w:rsid w:val="0C2327D8"/>
    <w:rsid w:val="0C2C1FAA"/>
    <w:rsid w:val="0C6A39A1"/>
    <w:rsid w:val="0C6F3CE9"/>
    <w:rsid w:val="0C8B005D"/>
    <w:rsid w:val="0CB06B79"/>
    <w:rsid w:val="0CC0529A"/>
    <w:rsid w:val="0D0522AA"/>
    <w:rsid w:val="0D3570E5"/>
    <w:rsid w:val="0D6647F2"/>
    <w:rsid w:val="0D683513"/>
    <w:rsid w:val="0DB76539"/>
    <w:rsid w:val="0DDF6E53"/>
    <w:rsid w:val="0DE10621"/>
    <w:rsid w:val="0DF17CEB"/>
    <w:rsid w:val="0DF23826"/>
    <w:rsid w:val="0E400459"/>
    <w:rsid w:val="0E421C53"/>
    <w:rsid w:val="0E463AAC"/>
    <w:rsid w:val="0E8E3BDC"/>
    <w:rsid w:val="0EB5401E"/>
    <w:rsid w:val="0ED80D75"/>
    <w:rsid w:val="0EFE6CE8"/>
    <w:rsid w:val="0F0A7572"/>
    <w:rsid w:val="0F125AF2"/>
    <w:rsid w:val="0F13124A"/>
    <w:rsid w:val="0F403E47"/>
    <w:rsid w:val="0F69741B"/>
    <w:rsid w:val="0F7B1B14"/>
    <w:rsid w:val="0FED3DA4"/>
    <w:rsid w:val="0FF14AD4"/>
    <w:rsid w:val="0FF16BF8"/>
    <w:rsid w:val="0FFC6245"/>
    <w:rsid w:val="1041672A"/>
    <w:rsid w:val="10466E02"/>
    <w:rsid w:val="105B5341"/>
    <w:rsid w:val="10991F71"/>
    <w:rsid w:val="109A2C9C"/>
    <w:rsid w:val="10AE26AC"/>
    <w:rsid w:val="10B326BA"/>
    <w:rsid w:val="10B71B0D"/>
    <w:rsid w:val="10EA5659"/>
    <w:rsid w:val="110D35B3"/>
    <w:rsid w:val="114D677E"/>
    <w:rsid w:val="114F2A88"/>
    <w:rsid w:val="114F78DE"/>
    <w:rsid w:val="11815D5E"/>
    <w:rsid w:val="11AF6175"/>
    <w:rsid w:val="11BF3E96"/>
    <w:rsid w:val="11DA4938"/>
    <w:rsid w:val="11E05EDE"/>
    <w:rsid w:val="11E209E0"/>
    <w:rsid w:val="12234A08"/>
    <w:rsid w:val="126961AF"/>
    <w:rsid w:val="12A81384"/>
    <w:rsid w:val="12B26777"/>
    <w:rsid w:val="12D6161E"/>
    <w:rsid w:val="12E95602"/>
    <w:rsid w:val="13066C89"/>
    <w:rsid w:val="131E0A27"/>
    <w:rsid w:val="13BA755B"/>
    <w:rsid w:val="13CB74DA"/>
    <w:rsid w:val="13F03D22"/>
    <w:rsid w:val="140A7D16"/>
    <w:rsid w:val="14287308"/>
    <w:rsid w:val="144B7D94"/>
    <w:rsid w:val="148610D5"/>
    <w:rsid w:val="14A35169"/>
    <w:rsid w:val="14A4497E"/>
    <w:rsid w:val="14CD67D8"/>
    <w:rsid w:val="14ED0282"/>
    <w:rsid w:val="150223A3"/>
    <w:rsid w:val="152F028D"/>
    <w:rsid w:val="153F08CA"/>
    <w:rsid w:val="154C73CF"/>
    <w:rsid w:val="15557480"/>
    <w:rsid w:val="15765710"/>
    <w:rsid w:val="1593461C"/>
    <w:rsid w:val="15AA1DE9"/>
    <w:rsid w:val="15B5456F"/>
    <w:rsid w:val="15FB249C"/>
    <w:rsid w:val="16046BEB"/>
    <w:rsid w:val="16184DFC"/>
    <w:rsid w:val="162A7978"/>
    <w:rsid w:val="1644252D"/>
    <w:rsid w:val="167F7929"/>
    <w:rsid w:val="16A448E1"/>
    <w:rsid w:val="16A66ADA"/>
    <w:rsid w:val="16C03993"/>
    <w:rsid w:val="16DD73DE"/>
    <w:rsid w:val="17083F06"/>
    <w:rsid w:val="17710C68"/>
    <w:rsid w:val="17931F74"/>
    <w:rsid w:val="17C65CFB"/>
    <w:rsid w:val="17E5117B"/>
    <w:rsid w:val="18082F3F"/>
    <w:rsid w:val="18104CC5"/>
    <w:rsid w:val="18586266"/>
    <w:rsid w:val="18803747"/>
    <w:rsid w:val="18BE3B53"/>
    <w:rsid w:val="18C46036"/>
    <w:rsid w:val="18DF60A5"/>
    <w:rsid w:val="18F80706"/>
    <w:rsid w:val="190D54F1"/>
    <w:rsid w:val="192B0A27"/>
    <w:rsid w:val="194F1DA8"/>
    <w:rsid w:val="197354A0"/>
    <w:rsid w:val="1997542E"/>
    <w:rsid w:val="19B93ADA"/>
    <w:rsid w:val="19BB14E6"/>
    <w:rsid w:val="19FF6181"/>
    <w:rsid w:val="1A09735C"/>
    <w:rsid w:val="1A445A4A"/>
    <w:rsid w:val="1A822353"/>
    <w:rsid w:val="1A8272BB"/>
    <w:rsid w:val="1AB4027C"/>
    <w:rsid w:val="1AB623ED"/>
    <w:rsid w:val="1AC15A62"/>
    <w:rsid w:val="1ACC430E"/>
    <w:rsid w:val="1B2B7823"/>
    <w:rsid w:val="1B4E00F9"/>
    <w:rsid w:val="1B501363"/>
    <w:rsid w:val="1B95439B"/>
    <w:rsid w:val="1BA1210E"/>
    <w:rsid w:val="1BA63FC5"/>
    <w:rsid w:val="1BAE65C8"/>
    <w:rsid w:val="1BC0765E"/>
    <w:rsid w:val="1BFD0A92"/>
    <w:rsid w:val="1C280F77"/>
    <w:rsid w:val="1C2E6DD3"/>
    <w:rsid w:val="1C611E11"/>
    <w:rsid w:val="1C676B8A"/>
    <w:rsid w:val="1C8D565F"/>
    <w:rsid w:val="1CDE66A8"/>
    <w:rsid w:val="1CE10F18"/>
    <w:rsid w:val="1D662F66"/>
    <w:rsid w:val="1D6A459D"/>
    <w:rsid w:val="1D7B6E09"/>
    <w:rsid w:val="1D822FCD"/>
    <w:rsid w:val="1D853810"/>
    <w:rsid w:val="1DA761CE"/>
    <w:rsid w:val="1DD42A7D"/>
    <w:rsid w:val="1DE10B17"/>
    <w:rsid w:val="1DE43A04"/>
    <w:rsid w:val="1DF27665"/>
    <w:rsid w:val="1E29046A"/>
    <w:rsid w:val="1E312EFF"/>
    <w:rsid w:val="1E6D7111"/>
    <w:rsid w:val="1E752D52"/>
    <w:rsid w:val="1E8442F2"/>
    <w:rsid w:val="1EFA0EE6"/>
    <w:rsid w:val="1F26200D"/>
    <w:rsid w:val="1F2731B3"/>
    <w:rsid w:val="1F2E38E2"/>
    <w:rsid w:val="1F3118EC"/>
    <w:rsid w:val="1FDC04E5"/>
    <w:rsid w:val="1FE51C17"/>
    <w:rsid w:val="200E2C47"/>
    <w:rsid w:val="204B341A"/>
    <w:rsid w:val="208321FA"/>
    <w:rsid w:val="20F11DFE"/>
    <w:rsid w:val="214453B8"/>
    <w:rsid w:val="214F28C1"/>
    <w:rsid w:val="21543588"/>
    <w:rsid w:val="21567868"/>
    <w:rsid w:val="215F116F"/>
    <w:rsid w:val="216567FF"/>
    <w:rsid w:val="21852C8B"/>
    <w:rsid w:val="2191603E"/>
    <w:rsid w:val="219A303E"/>
    <w:rsid w:val="221E4CC8"/>
    <w:rsid w:val="224913C5"/>
    <w:rsid w:val="22562288"/>
    <w:rsid w:val="228B15C1"/>
    <w:rsid w:val="22921209"/>
    <w:rsid w:val="22AB5377"/>
    <w:rsid w:val="22C9213D"/>
    <w:rsid w:val="232B005C"/>
    <w:rsid w:val="234E165C"/>
    <w:rsid w:val="23EE0EC1"/>
    <w:rsid w:val="23FC2B57"/>
    <w:rsid w:val="24093CF5"/>
    <w:rsid w:val="2409755B"/>
    <w:rsid w:val="242C2A29"/>
    <w:rsid w:val="248F322E"/>
    <w:rsid w:val="24B17582"/>
    <w:rsid w:val="24B85E45"/>
    <w:rsid w:val="250B3C8D"/>
    <w:rsid w:val="2531549E"/>
    <w:rsid w:val="253942C9"/>
    <w:rsid w:val="25553977"/>
    <w:rsid w:val="255C794E"/>
    <w:rsid w:val="25620BC5"/>
    <w:rsid w:val="25761867"/>
    <w:rsid w:val="258160E4"/>
    <w:rsid w:val="25907D30"/>
    <w:rsid w:val="25A246E2"/>
    <w:rsid w:val="25AF37F4"/>
    <w:rsid w:val="25BD21AD"/>
    <w:rsid w:val="25E4191F"/>
    <w:rsid w:val="262D78EB"/>
    <w:rsid w:val="26437E3E"/>
    <w:rsid w:val="268F456F"/>
    <w:rsid w:val="2692669F"/>
    <w:rsid w:val="26973F47"/>
    <w:rsid w:val="26AA6753"/>
    <w:rsid w:val="26B402C7"/>
    <w:rsid w:val="26D04D3C"/>
    <w:rsid w:val="26E242FE"/>
    <w:rsid w:val="270E557F"/>
    <w:rsid w:val="272F3D46"/>
    <w:rsid w:val="27363334"/>
    <w:rsid w:val="278B1A49"/>
    <w:rsid w:val="27C34BEB"/>
    <w:rsid w:val="27EB05C2"/>
    <w:rsid w:val="27FD7DB6"/>
    <w:rsid w:val="28024857"/>
    <w:rsid w:val="280B2281"/>
    <w:rsid w:val="284B22DA"/>
    <w:rsid w:val="28506124"/>
    <w:rsid w:val="286B21EF"/>
    <w:rsid w:val="288F57D0"/>
    <w:rsid w:val="28937CBE"/>
    <w:rsid w:val="28A323B3"/>
    <w:rsid w:val="28BF5197"/>
    <w:rsid w:val="28C0322D"/>
    <w:rsid w:val="28CA2D73"/>
    <w:rsid w:val="28D6476B"/>
    <w:rsid w:val="28E96042"/>
    <w:rsid w:val="28ED72AE"/>
    <w:rsid w:val="28FD1ED6"/>
    <w:rsid w:val="29033F81"/>
    <w:rsid w:val="29246D7D"/>
    <w:rsid w:val="29346CCE"/>
    <w:rsid w:val="293B2D11"/>
    <w:rsid w:val="29A83BEC"/>
    <w:rsid w:val="29B71388"/>
    <w:rsid w:val="2A087EB6"/>
    <w:rsid w:val="2A1A7565"/>
    <w:rsid w:val="2A2050E7"/>
    <w:rsid w:val="2A255F9C"/>
    <w:rsid w:val="2A573953"/>
    <w:rsid w:val="2A5D4622"/>
    <w:rsid w:val="2A6F5586"/>
    <w:rsid w:val="2A7D19C3"/>
    <w:rsid w:val="2A8F41A9"/>
    <w:rsid w:val="2AB24C8B"/>
    <w:rsid w:val="2AD86C2C"/>
    <w:rsid w:val="2AFA276B"/>
    <w:rsid w:val="2B58159A"/>
    <w:rsid w:val="2B5C239C"/>
    <w:rsid w:val="2B8277E3"/>
    <w:rsid w:val="2B8E33E4"/>
    <w:rsid w:val="2B944FFE"/>
    <w:rsid w:val="2B9B69E6"/>
    <w:rsid w:val="2BBC6656"/>
    <w:rsid w:val="2BC158D9"/>
    <w:rsid w:val="2BDB6BA0"/>
    <w:rsid w:val="2BDD36B7"/>
    <w:rsid w:val="2BEF4826"/>
    <w:rsid w:val="2C1B4687"/>
    <w:rsid w:val="2C1F083A"/>
    <w:rsid w:val="2C494AA3"/>
    <w:rsid w:val="2C706870"/>
    <w:rsid w:val="2C866204"/>
    <w:rsid w:val="2C9520D8"/>
    <w:rsid w:val="2C9E63E9"/>
    <w:rsid w:val="2CAB1CFD"/>
    <w:rsid w:val="2CB22F2C"/>
    <w:rsid w:val="2CB92545"/>
    <w:rsid w:val="2CE224C2"/>
    <w:rsid w:val="2CFB1E6D"/>
    <w:rsid w:val="2D013C9B"/>
    <w:rsid w:val="2D281398"/>
    <w:rsid w:val="2D2D2481"/>
    <w:rsid w:val="2D355C98"/>
    <w:rsid w:val="2D6E6259"/>
    <w:rsid w:val="2D77226D"/>
    <w:rsid w:val="2DB63B41"/>
    <w:rsid w:val="2DC84F02"/>
    <w:rsid w:val="2E0C3A5E"/>
    <w:rsid w:val="2E7D7A9A"/>
    <w:rsid w:val="2E8C3807"/>
    <w:rsid w:val="2EAE22B5"/>
    <w:rsid w:val="2EEC7D58"/>
    <w:rsid w:val="2EF412FB"/>
    <w:rsid w:val="2F0D5BF3"/>
    <w:rsid w:val="2F813141"/>
    <w:rsid w:val="2F8D22B9"/>
    <w:rsid w:val="2F923A19"/>
    <w:rsid w:val="2FA17195"/>
    <w:rsid w:val="2FB834FB"/>
    <w:rsid w:val="2FB94D54"/>
    <w:rsid w:val="2FBE0A45"/>
    <w:rsid w:val="2FC62C37"/>
    <w:rsid w:val="2FD1764E"/>
    <w:rsid w:val="2FD2524B"/>
    <w:rsid w:val="300466C5"/>
    <w:rsid w:val="30155C7D"/>
    <w:rsid w:val="3031266B"/>
    <w:rsid w:val="30313CD1"/>
    <w:rsid w:val="3075353C"/>
    <w:rsid w:val="307C4ECB"/>
    <w:rsid w:val="308A3E3D"/>
    <w:rsid w:val="30D31BAB"/>
    <w:rsid w:val="30E77331"/>
    <w:rsid w:val="30F032FC"/>
    <w:rsid w:val="310A4970"/>
    <w:rsid w:val="310D6A5F"/>
    <w:rsid w:val="312D7966"/>
    <w:rsid w:val="31395838"/>
    <w:rsid w:val="314865DC"/>
    <w:rsid w:val="315343A9"/>
    <w:rsid w:val="3163741B"/>
    <w:rsid w:val="317D325D"/>
    <w:rsid w:val="318226D9"/>
    <w:rsid w:val="31B01D73"/>
    <w:rsid w:val="31B34C77"/>
    <w:rsid w:val="31C0661C"/>
    <w:rsid w:val="31C320FE"/>
    <w:rsid w:val="31CA3B0F"/>
    <w:rsid w:val="31F14F3D"/>
    <w:rsid w:val="32112351"/>
    <w:rsid w:val="321B5448"/>
    <w:rsid w:val="326A5885"/>
    <w:rsid w:val="329075C6"/>
    <w:rsid w:val="329D6467"/>
    <w:rsid w:val="32A2188A"/>
    <w:rsid w:val="32AB63B3"/>
    <w:rsid w:val="32B33417"/>
    <w:rsid w:val="32B83797"/>
    <w:rsid w:val="32E7076E"/>
    <w:rsid w:val="33244F5A"/>
    <w:rsid w:val="33361B7D"/>
    <w:rsid w:val="333A7D5A"/>
    <w:rsid w:val="333E1D8C"/>
    <w:rsid w:val="338F15EB"/>
    <w:rsid w:val="339506F9"/>
    <w:rsid w:val="339D5944"/>
    <w:rsid w:val="33A76F60"/>
    <w:rsid w:val="33AB2933"/>
    <w:rsid w:val="341B2E64"/>
    <w:rsid w:val="34427A54"/>
    <w:rsid w:val="3448309F"/>
    <w:rsid w:val="34541527"/>
    <w:rsid w:val="3460603B"/>
    <w:rsid w:val="3467183F"/>
    <w:rsid w:val="346C4839"/>
    <w:rsid w:val="34792126"/>
    <w:rsid w:val="34822315"/>
    <w:rsid w:val="348D0490"/>
    <w:rsid w:val="34AC158E"/>
    <w:rsid w:val="34E27D1B"/>
    <w:rsid w:val="351D3294"/>
    <w:rsid w:val="351E64AB"/>
    <w:rsid w:val="354475D9"/>
    <w:rsid w:val="355F4213"/>
    <w:rsid w:val="35753BC1"/>
    <w:rsid w:val="357B028B"/>
    <w:rsid w:val="35AD1845"/>
    <w:rsid w:val="35F2323C"/>
    <w:rsid w:val="3631593F"/>
    <w:rsid w:val="364A7878"/>
    <w:rsid w:val="36AF4EB1"/>
    <w:rsid w:val="36F20CBC"/>
    <w:rsid w:val="3732121D"/>
    <w:rsid w:val="378B705D"/>
    <w:rsid w:val="37B162A1"/>
    <w:rsid w:val="38061C51"/>
    <w:rsid w:val="381B1FBC"/>
    <w:rsid w:val="38206066"/>
    <w:rsid w:val="38290394"/>
    <w:rsid w:val="384325BE"/>
    <w:rsid w:val="386A02CB"/>
    <w:rsid w:val="388B08B9"/>
    <w:rsid w:val="38D004F4"/>
    <w:rsid w:val="38F255CD"/>
    <w:rsid w:val="391A6147"/>
    <w:rsid w:val="39365415"/>
    <w:rsid w:val="39826D30"/>
    <w:rsid w:val="399136D1"/>
    <w:rsid w:val="39AD2A7E"/>
    <w:rsid w:val="39ED2B2D"/>
    <w:rsid w:val="39EF2333"/>
    <w:rsid w:val="39F63F29"/>
    <w:rsid w:val="3A172D87"/>
    <w:rsid w:val="3A6B7EDF"/>
    <w:rsid w:val="3A7B57D6"/>
    <w:rsid w:val="3AD94C2E"/>
    <w:rsid w:val="3B397BBD"/>
    <w:rsid w:val="3B70502D"/>
    <w:rsid w:val="3B7A4AE7"/>
    <w:rsid w:val="3B8936A8"/>
    <w:rsid w:val="3BB00C18"/>
    <w:rsid w:val="3BB61F98"/>
    <w:rsid w:val="3BE3534E"/>
    <w:rsid w:val="3C3C11A5"/>
    <w:rsid w:val="3C61318A"/>
    <w:rsid w:val="3C7079E7"/>
    <w:rsid w:val="3C954835"/>
    <w:rsid w:val="3CAB0E63"/>
    <w:rsid w:val="3D055486"/>
    <w:rsid w:val="3D43196D"/>
    <w:rsid w:val="3D5016CC"/>
    <w:rsid w:val="3D576A73"/>
    <w:rsid w:val="3D653486"/>
    <w:rsid w:val="3D7B3233"/>
    <w:rsid w:val="3D850719"/>
    <w:rsid w:val="3DAC573E"/>
    <w:rsid w:val="3E135D25"/>
    <w:rsid w:val="3E1A18E1"/>
    <w:rsid w:val="3E6F4D4D"/>
    <w:rsid w:val="3EB46FC0"/>
    <w:rsid w:val="3EC536A5"/>
    <w:rsid w:val="3ECE64A6"/>
    <w:rsid w:val="3ECE7988"/>
    <w:rsid w:val="3ED50869"/>
    <w:rsid w:val="3EE36457"/>
    <w:rsid w:val="3F100A67"/>
    <w:rsid w:val="3F323EEB"/>
    <w:rsid w:val="3F585BC8"/>
    <w:rsid w:val="3F852C53"/>
    <w:rsid w:val="3FC84440"/>
    <w:rsid w:val="3FDD420B"/>
    <w:rsid w:val="40171B39"/>
    <w:rsid w:val="403B68A3"/>
    <w:rsid w:val="404457C1"/>
    <w:rsid w:val="408D211F"/>
    <w:rsid w:val="40BD0D90"/>
    <w:rsid w:val="40CE6A82"/>
    <w:rsid w:val="40E5543B"/>
    <w:rsid w:val="40E92EE0"/>
    <w:rsid w:val="40ED406A"/>
    <w:rsid w:val="40F05649"/>
    <w:rsid w:val="412D3359"/>
    <w:rsid w:val="41314D4D"/>
    <w:rsid w:val="41327B9E"/>
    <w:rsid w:val="418D2021"/>
    <w:rsid w:val="41986267"/>
    <w:rsid w:val="41A43A69"/>
    <w:rsid w:val="41D41C6F"/>
    <w:rsid w:val="41EA74EC"/>
    <w:rsid w:val="42044ECB"/>
    <w:rsid w:val="423F5CDF"/>
    <w:rsid w:val="425B25D5"/>
    <w:rsid w:val="427B2561"/>
    <w:rsid w:val="42976C92"/>
    <w:rsid w:val="42BA0E65"/>
    <w:rsid w:val="42CC54CD"/>
    <w:rsid w:val="42D67124"/>
    <w:rsid w:val="42E428CD"/>
    <w:rsid w:val="43144D9B"/>
    <w:rsid w:val="431E6AE0"/>
    <w:rsid w:val="432B3B11"/>
    <w:rsid w:val="43912142"/>
    <w:rsid w:val="43A11EC0"/>
    <w:rsid w:val="43C662C0"/>
    <w:rsid w:val="43EF4F2A"/>
    <w:rsid w:val="44463BE1"/>
    <w:rsid w:val="44561EF6"/>
    <w:rsid w:val="445C76CB"/>
    <w:rsid w:val="449A65C3"/>
    <w:rsid w:val="44B05EA3"/>
    <w:rsid w:val="44E56DEC"/>
    <w:rsid w:val="44FA29ED"/>
    <w:rsid w:val="450862B9"/>
    <w:rsid w:val="45264F7C"/>
    <w:rsid w:val="454763ED"/>
    <w:rsid w:val="454F2B70"/>
    <w:rsid w:val="456714F4"/>
    <w:rsid w:val="45933CE2"/>
    <w:rsid w:val="45945BEF"/>
    <w:rsid w:val="45BF61D6"/>
    <w:rsid w:val="45C205F7"/>
    <w:rsid w:val="45C94ACE"/>
    <w:rsid w:val="45D20C54"/>
    <w:rsid w:val="45F55607"/>
    <w:rsid w:val="460753BD"/>
    <w:rsid w:val="462F2C65"/>
    <w:rsid w:val="4632744B"/>
    <w:rsid w:val="46667FB5"/>
    <w:rsid w:val="466C5DEE"/>
    <w:rsid w:val="4698326B"/>
    <w:rsid w:val="46A22302"/>
    <w:rsid w:val="46D17ED0"/>
    <w:rsid w:val="46D32719"/>
    <w:rsid w:val="46E6333B"/>
    <w:rsid w:val="4719790D"/>
    <w:rsid w:val="474B1594"/>
    <w:rsid w:val="474E4812"/>
    <w:rsid w:val="476714B2"/>
    <w:rsid w:val="47685853"/>
    <w:rsid w:val="478707A0"/>
    <w:rsid w:val="47913B82"/>
    <w:rsid w:val="47AD0F98"/>
    <w:rsid w:val="47B6474B"/>
    <w:rsid w:val="47C332EA"/>
    <w:rsid w:val="47ED7005"/>
    <w:rsid w:val="47F36DFE"/>
    <w:rsid w:val="47FA52E9"/>
    <w:rsid w:val="480A39EC"/>
    <w:rsid w:val="483345D9"/>
    <w:rsid w:val="48762502"/>
    <w:rsid w:val="48A709C8"/>
    <w:rsid w:val="48BB7EDC"/>
    <w:rsid w:val="48C37D10"/>
    <w:rsid w:val="48F95B07"/>
    <w:rsid w:val="4916718C"/>
    <w:rsid w:val="495F435F"/>
    <w:rsid w:val="496F5C04"/>
    <w:rsid w:val="497015A6"/>
    <w:rsid w:val="49887B43"/>
    <w:rsid w:val="49A23FB4"/>
    <w:rsid w:val="49E95A4F"/>
    <w:rsid w:val="4A2C0A4E"/>
    <w:rsid w:val="4A3B33B7"/>
    <w:rsid w:val="4A5971B6"/>
    <w:rsid w:val="4A676A99"/>
    <w:rsid w:val="4A9621B8"/>
    <w:rsid w:val="4AA8561A"/>
    <w:rsid w:val="4AC470DC"/>
    <w:rsid w:val="4AFA5BA7"/>
    <w:rsid w:val="4B2B6294"/>
    <w:rsid w:val="4B6745FE"/>
    <w:rsid w:val="4BAD1457"/>
    <w:rsid w:val="4BB05615"/>
    <w:rsid w:val="4BF90C50"/>
    <w:rsid w:val="4C142795"/>
    <w:rsid w:val="4C170885"/>
    <w:rsid w:val="4C20166C"/>
    <w:rsid w:val="4C3316B3"/>
    <w:rsid w:val="4C4367B2"/>
    <w:rsid w:val="4C4A74BB"/>
    <w:rsid w:val="4C4B1EEF"/>
    <w:rsid w:val="4C56199D"/>
    <w:rsid w:val="4C5D11DF"/>
    <w:rsid w:val="4C681932"/>
    <w:rsid w:val="4C7B68D3"/>
    <w:rsid w:val="4C7F2FFB"/>
    <w:rsid w:val="4C860A4D"/>
    <w:rsid w:val="4CAA61FC"/>
    <w:rsid w:val="4CC10E64"/>
    <w:rsid w:val="4CD73167"/>
    <w:rsid w:val="4CDF07CC"/>
    <w:rsid w:val="4D111C6A"/>
    <w:rsid w:val="4D171237"/>
    <w:rsid w:val="4D66639B"/>
    <w:rsid w:val="4D7C2C48"/>
    <w:rsid w:val="4D884FF2"/>
    <w:rsid w:val="4D8B554F"/>
    <w:rsid w:val="4DAF3103"/>
    <w:rsid w:val="4DC40DEA"/>
    <w:rsid w:val="4DD07217"/>
    <w:rsid w:val="4E2245CB"/>
    <w:rsid w:val="4E463985"/>
    <w:rsid w:val="4E6A3678"/>
    <w:rsid w:val="4E780DF0"/>
    <w:rsid w:val="4E796F6C"/>
    <w:rsid w:val="4E914C57"/>
    <w:rsid w:val="4ECA02B4"/>
    <w:rsid w:val="4F3700F2"/>
    <w:rsid w:val="4F4D0082"/>
    <w:rsid w:val="4F556265"/>
    <w:rsid w:val="4F8C10A4"/>
    <w:rsid w:val="4F9B7D6A"/>
    <w:rsid w:val="4FDA247C"/>
    <w:rsid w:val="4FDA610B"/>
    <w:rsid w:val="4FED4DB3"/>
    <w:rsid w:val="4FF467D6"/>
    <w:rsid w:val="500428E7"/>
    <w:rsid w:val="502A762A"/>
    <w:rsid w:val="503407F6"/>
    <w:rsid w:val="50486831"/>
    <w:rsid w:val="5070381D"/>
    <w:rsid w:val="509115AC"/>
    <w:rsid w:val="50B95974"/>
    <w:rsid w:val="51016F19"/>
    <w:rsid w:val="512801E9"/>
    <w:rsid w:val="51342E1C"/>
    <w:rsid w:val="51584F18"/>
    <w:rsid w:val="51612C25"/>
    <w:rsid w:val="51A50323"/>
    <w:rsid w:val="51AA3F2E"/>
    <w:rsid w:val="51CB7EC2"/>
    <w:rsid w:val="51E04479"/>
    <w:rsid w:val="51FE6FD2"/>
    <w:rsid w:val="5216489F"/>
    <w:rsid w:val="523B3E5E"/>
    <w:rsid w:val="52486F93"/>
    <w:rsid w:val="52642B9B"/>
    <w:rsid w:val="526E61BF"/>
    <w:rsid w:val="52826C77"/>
    <w:rsid w:val="52AD461C"/>
    <w:rsid w:val="52DA3E06"/>
    <w:rsid w:val="533D08F2"/>
    <w:rsid w:val="533F04DD"/>
    <w:rsid w:val="536D3453"/>
    <w:rsid w:val="53986FA1"/>
    <w:rsid w:val="53A81BFA"/>
    <w:rsid w:val="53B80043"/>
    <w:rsid w:val="53CF2B68"/>
    <w:rsid w:val="5440448C"/>
    <w:rsid w:val="544F3054"/>
    <w:rsid w:val="545C78B5"/>
    <w:rsid w:val="54603722"/>
    <w:rsid w:val="547208A6"/>
    <w:rsid w:val="547866D1"/>
    <w:rsid w:val="54877909"/>
    <w:rsid w:val="54A33C45"/>
    <w:rsid w:val="54A42A47"/>
    <w:rsid w:val="54D51B54"/>
    <w:rsid w:val="54EE2751"/>
    <w:rsid w:val="5534282C"/>
    <w:rsid w:val="554C2145"/>
    <w:rsid w:val="555145B3"/>
    <w:rsid w:val="55976391"/>
    <w:rsid w:val="55986DE4"/>
    <w:rsid w:val="55B47D6C"/>
    <w:rsid w:val="55B613EB"/>
    <w:rsid w:val="55DF37B5"/>
    <w:rsid w:val="55E97DF9"/>
    <w:rsid w:val="56102BF9"/>
    <w:rsid w:val="56160583"/>
    <w:rsid w:val="562F7C6B"/>
    <w:rsid w:val="56611BB6"/>
    <w:rsid w:val="568972E0"/>
    <w:rsid w:val="56D274B5"/>
    <w:rsid w:val="57193F55"/>
    <w:rsid w:val="574620BC"/>
    <w:rsid w:val="57496B02"/>
    <w:rsid w:val="575046D6"/>
    <w:rsid w:val="576E293E"/>
    <w:rsid w:val="5776389C"/>
    <w:rsid w:val="57C31FB2"/>
    <w:rsid w:val="57D80CCA"/>
    <w:rsid w:val="57EF2AEE"/>
    <w:rsid w:val="58181CB6"/>
    <w:rsid w:val="582501EB"/>
    <w:rsid w:val="582C0714"/>
    <w:rsid w:val="58427B11"/>
    <w:rsid w:val="5851771E"/>
    <w:rsid w:val="586C5FB2"/>
    <w:rsid w:val="58BB06EE"/>
    <w:rsid w:val="58D16870"/>
    <w:rsid w:val="58E41B6D"/>
    <w:rsid w:val="58FC71A2"/>
    <w:rsid w:val="590422CB"/>
    <w:rsid w:val="59337A15"/>
    <w:rsid w:val="594D6137"/>
    <w:rsid w:val="595839B6"/>
    <w:rsid w:val="598B78E8"/>
    <w:rsid w:val="59995821"/>
    <w:rsid w:val="59D06EC2"/>
    <w:rsid w:val="5A201A9E"/>
    <w:rsid w:val="5A2D3E2B"/>
    <w:rsid w:val="5A4F5409"/>
    <w:rsid w:val="5A56101C"/>
    <w:rsid w:val="5A7F688E"/>
    <w:rsid w:val="5A98239A"/>
    <w:rsid w:val="5A9C667B"/>
    <w:rsid w:val="5ADA1FF9"/>
    <w:rsid w:val="5AEB4E62"/>
    <w:rsid w:val="5B10566E"/>
    <w:rsid w:val="5B1803F2"/>
    <w:rsid w:val="5B2C29A9"/>
    <w:rsid w:val="5B435A44"/>
    <w:rsid w:val="5B64624F"/>
    <w:rsid w:val="5B6B1DB1"/>
    <w:rsid w:val="5B6D1222"/>
    <w:rsid w:val="5B791C61"/>
    <w:rsid w:val="5B891C6D"/>
    <w:rsid w:val="5B917BEC"/>
    <w:rsid w:val="5BA34A69"/>
    <w:rsid w:val="5BAA161F"/>
    <w:rsid w:val="5BEF6F13"/>
    <w:rsid w:val="5C0B1C93"/>
    <w:rsid w:val="5C2C37DA"/>
    <w:rsid w:val="5C4001D5"/>
    <w:rsid w:val="5C493D3A"/>
    <w:rsid w:val="5C4A50DF"/>
    <w:rsid w:val="5C4B6CC8"/>
    <w:rsid w:val="5C6C6CC8"/>
    <w:rsid w:val="5C976ED0"/>
    <w:rsid w:val="5C9B365E"/>
    <w:rsid w:val="5CA75498"/>
    <w:rsid w:val="5CC63B62"/>
    <w:rsid w:val="5CD56B55"/>
    <w:rsid w:val="5CE4630D"/>
    <w:rsid w:val="5D1C446B"/>
    <w:rsid w:val="5D536605"/>
    <w:rsid w:val="5D5D061E"/>
    <w:rsid w:val="5DA622BA"/>
    <w:rsid w:val="5DC7387E"/>
    <w:rsid w:val="5DDB5A14"/>
    <w:rsid w:val="5DF4044B"/>
    <w:rsid w:val="5DFD1C63"/>
    <w:rsid w:val="5E0C65C1"/>
    <w:rsid w:val="5E0D1BD8"/>
    <w:rsid w:val="5E1A3065"/>
    <w:rsid w:val="5E2B68BE"/>
    <w:rsid w:val="5E4C40D6"/>
    <w:rsid w:val="5E7C3EF2"/>
    <w:rsid w:val="5E847E85"/>
    <w:rsid w:val="5E947A0C"/>
    <w:rsid w:val="5F452E2A"/>
    <w:rsid w:val="5F75544A"/>
    <w:rsid w:val="5FC91CFE"/>
    <w:rsid w:val="5FEA775F"/>
    <w:rsid w:val="602C272A"/>
    <w:rsid w:val="6038228F"/>
    <w:rsid w:val="60566219"/>
    <w:rsid w:val="60B44192"/>
    <w:rsid w:val="60C63657"/>
    <w:rsid w:val="60C769DE"/>
    <w:rsid w:val="60EF0EE5"/>
    <w:rsid w:val="6123553B"/>
    <w:rsid w:val="61273F56"/>
    <w:rsid w:val="61426089"/>
    <w:rsid w:val="614A77EC"/>
    <w:rsid w:val="61694083"/>
    <w:rsid w:val="61943203"/>
    <w:rsid w:val="61AF57E4"/>
    <w:rsid w:val="61B9240A"/>
    <w:rsid w:val="61BC77BF"/>
    <w:rsid w:val="61D40F24"/>
    <w:rsid w:val="61F34657"/>
    <w:rsid w:val="62002780"/>
    <w:rsid w:val="620D6054"/>
    <w:rsid w:val="62151FC7"/>
    <w:rsid w:val="621B239B"/>
    <w:rsid w:val="621E2162"/>
    <w:rsid w:val="6223501D"/>
    <w:rsid w:val="623A3FBE"/>
    <w:rsid w:val="62422092"/>
    <w:rsid w:val="6265284F"/>
    <w:rsid w:val="62844525"/>
    <w:rsid w:val="62927076"/>
    <w:rsid w:val="62A61D0C"/>
    <w:rsid w:val="62AB3D4B"/>
    <w:rsid w:val="62CA7E1D"/>
    <w:rsid w:val="63296394"/>
    <w:rsid w:val="633865D3"/>
    <w:rsid w:val="634709B8"/>
    <w:rsid w:val="63A42B58"/>
    <w:rsid w:val="64033B07"/>
    <w:rsid w:val="641D4E1C"/>
    <w:rsid w:val="643949D6"/>
    <w:rsid w:val="6441646B"/>
    <w:rsid w:val="645779C1"/>
    <w:rsid w:val="646A1324"/>
    <w:rsid w:val="64705654"/>
    <w:rsid w:val="64774561"/>
    <w:rsid w:val="64775A07"/>
    <w:rsid w:val="649A715D"/>
    <w:rsid w:val="64A855B9"/>
    <w:rsid w:val="64AF0ABC"/>
    <w:rsid w:val="64C372D3"/>
    <w:rsid w:val="64C65FF6"/>
    <w:rsid w:val="64CB61AF"/>
    <w:rsid w:val="65047746"/>
    <w:rsid w:val="6507621A"/>
    <w:rsid w:val="657375D9"/>
    <w:rsid w:val="660113F3"/>
    <w:rsid w:val="66121CD3"/>
    <w:rsid w:val="661D4913"/>
    <w:rsid w:val="66224108"/>
    <w:rsid w:val="663D5E8F"/>
    <w:rsid w:val="668D0B9A"/>
    <w:rsid w:val="66AE2B5D"/>
    <w:rsid w:val="66CF6ED1"/>
    <w:rsid w:val="66E62716"/>
    <w:rsid w:val="66E8767D"/>
    <w:rsid w:val="67080742"/>
    <w:rsid w:val="67330424"/>
    <w:rsid w:val="673C0C4C"/>
    <w:rsid w:val="674768BC"/>
    <w:rsid w:val="67775414"/>
    <w:rsid w:val="679F219B"/>
    <w:rsid w:val="67A44327"/>
    <w:rsid w:val="680D716C"/>
    <w:rsid w:val="68122A5D"/>
    <w:rsid w:val="68401BBE"/>
    <w:rsid w:val="68896A60"/>
    <w:rsid w:val="689C637A"/>
    <w:rsid w:val="68E43F44"/>
    <w:rsid w:val="68EB0661"/>
    <w:rsid w:val="68F24767"/>
    <w:rsid w:val="691813E2"/>
    <w:rsid w:val="69C1152F"/>
    <w:rsid w:val="69CB6B96"/>
    <w:rsid w:val="69D758C9"/>
    <w:rsid w:val="69E80D36"/>
    <w:rsid w:val="69F32FEF"/>
    <w:rsid w:val="69FC61C3"/>
    <w:rsid w:val="6A051EF7"/>
    <w:rsid w:val="6A173B03"/>
    <w:rsid w:val="6A4E2E03"/>
    <w:rsid w:val="6A8E1DF5"/>
    <w:rsid w:val="6A962BEB"/>
    <w:rsid w:val="6ABE015A"/>
    <w:rsid w:val="6ADC2D4E"/>
    <w:rsid w:val="6B0A37EF"/>
    <w:rsid w:val="6B292DD2"/>
    <w:rsid w:val="6B347FBA"/>
    <w:rsid w:val="6B374295"/>
    <w:rsid w:val="6B3C54D1"/>
    <w:rsid w:val="6B505A03"/>
    <w:rsid w:val="6B5256DF"/>
    <w:rsid w:val="6B581FC0"/>
    <w:rsid w:val="6B6F0783"/>
    <w:rsid w:val="6B8443FC"/>
    <w:rsid w:val="6B8D65FB"/>
    <w:rsid w:val="6B9072DF"/>
    <w:rsid w:val="6B9E41EC"/>
    <w:rsid w:val="6BAF68FF"/>
    <w:rsid w:val="6BB52D67"/>
    <w:rsid w:val="6BE5559C"/>
    <w:rsid w:val="6BF82FDD"/>
    <w:rsid w:val="6C557E95"/>
    <w:rsid w:val="6C6634C9"/>
    <w:rsid w:val="6C6D0B73"/>
    <w:rsid w:val="6C9679CC"/>
    <w:rsid w:val="6C9C4981"/>
    <w:rsid w:val="6CDD6B6E"/>
    <w:rsid w:val="6CFC7B51"/>
    <w:rsid w:val="6D1160C5"/>
    <w:rsid w:val="6D1F1741"/>
    <w:rsid w:val="6D2029E2"/>
    <w:rsid w:val="6D3B1304"/>
    <w:rsid w:val="6D3E5D7E"/>
    <w:rsid w:val="6D545ACC"/>
    <w:rsid w:val="6D7611CE"/>
    <w:rsid w:val="6D8E36BF"/>
    <w:rsid w:val="6DC87C44"/>
    <w:rsid w:val="6DE10F7A"/>
    <w:rsid w:val="6E276AFF"/>
    <w:rsid w:val="6E435BA3"/>
    <w:rsid w:val="6E465427"/>
    <w:rsid w:val="6E4F6CB7"/>
    <w:rsid w:val="6E6B7009"/>
    <w:rsid w:val="6E730EF2"/>
    <w:rsid w:val="6EBF42F0"/>
    <w:rsid w:val="6EE91D09"/>
    <w:rsid w:val="6EFF17DF"/>
    <w:rsid w:val="6F1078AA"/>
    <w:rsid w:val="6F113EE2"/>
    <w:rsid w:val="6F3F7718"/>
    <w:rsid w:val="6F546D8E"/>
    <w:rsid w:val="6F851269"/>
    <w:rsid w:val="6F881BB7"/>
    <w:rsid w:val="6FB66D08"/>
    <w:rsid w:val="6FE8237C"/>
    <w:rsid w:val="702142B7"/>
    <w:rsid w:val="707C7659"/>
    <w:rsid w:val="70802121"/>
    <w:rsid w:val="7081689B"/>
    <w:rsid w:val="70E37655"/>
    <w:rsid w:val="70ED7EF3"/>
    <w:rsid w:val="70F6679C"/>
    <w:rsid w:val="710B2708"/>
    <w:rsid w:val="71307784"/>
    <w:rsid w:val="71766FF5"/>
    <w:rsid w:val="71A2391D"/>
    <w:rsid w:val="71A37715"/>
    <w:rsid w:val="71C034F3"/>
    <w:rsid w:val="71C877FF"/>
    <w:rsid w:val="71DA1617"/>
    <w:rsid w:val="72151452"/>
    <w:rsid w:val="722F36D2"/>
    <w:rsid w:val="72331591"/>
    <w:rsid w:val="723E4384"/>
    <w:rsid w:val="73285F1A"/>
    <w:rsid w:val="7331460D"/>
    <w:rsid w:val="73355864"/>
    <w:rsid w:val="733B5330"/>
    <w:rsid w:val="73647BE9"/>
    <w:rsid w:val="736A1A14"/>
    <w:rsid w:val="73792098"/>
    <w:rsid w:val="73832941"/>
    <w:rsid w:val="738A6106"/>
    <w:rsid w:val="73E4717E"/>
    <w:rsid w:val="73EF377C"/>
    <w:rsid w:val="73F93E61"/>
    <w:rsid w:val="740140FA"/>
    <w:rsid w:val="74014CFC"/>
    <w:rsid w:val="740C146B"/>
    <w:rsid w:val="743A7E47"/>
    <w:rsid w:val="74492468"/>
    <w:rsid w:val="745A23CE"/>
    <w:rsid w:val="745D15E9"/>
    <w:rsid w:val="74715F31"/>
    <w:rsid w:val="74CF7F69"/>
    <w:rsid w:val="74D04651"/>
    <w:rsid w:val="74D37155"/>
    <w:rsid w:val="74D37E9F"/>
    <w:rsid w:val="74E07A1B"/>
    <w:rsid w:val="74FD51C6"/>
    <w:rsid w:val="74FE5C82"/>
    <w:rsid w:val="7530607C"/>
    <w:rsid w:val="7557416E"/>
    <w:rsid w:val="75C31803"/>
    <w:rsid w:val="75E6797F"/>
    <w:rsid w:val="76067942"/>
    <w:rsid w:val="760D0134"/>
    <w:rsid w:val="763E2DA1"/>
    <w:rsid w:val="764D4D00"/>
    <w:rsid w:val="766052A4"/>
    <w:rsid w:val="769909B4"/>
    <w:rsid w:val="769D18C4"/>
    <w:rsid w:val="76DE441B"/>
    <w:rsid w:val="77025529"/>
    <w:rsid w:val="77182745"/>
    <w:rsid w:val="771A4366"/>
    <w:rsid w:val="772A3A1B"/>
    <w:rsid w:val="773E2160"/>
    <w:rsid w:val="774B7104"/>
    <w:rsid w:val="7751082D"/>
    <w:rsid w:val="775B4397"/>
    <w:rsid w:val="77741EC5"/>
    <w:rsid w:val="77814445"/>
    <w:rsid w:val="778F26BB"/>
    <w:rsid w:val="779F608B"/>
    <w:rsid w:val="77CB6C11"/>
    <w:rsid w:val="7802469A"/>
    <w:rsid w:val="781028AF"/>
    <w:rsid w:val="78395DAD"/>
    <w:rsid w:val="785A7A25"/>
    <w:rsid w:val="787A3ED4"/>
    <w:rsid w:val="788D5943"/>
    <w:rsid w:val="78940D39"/>
    <w:rsid w:val="790E10FC"/>
    <w:rsid w:val="79575C9B"/>
    <w:rsid w:val="79630D4B"/>
    <w:rsid w:val="79D3217E"/>
    <w:rsid w:val="79D652DE"/>
    <w:rsid w:val="79F8477F"/>
    <w:rsid w:val="7A1D06A2"/>
    <w:rsid w:val="7A646C0F"/>
    <w:rsid w:val="7A7F0F0D"/>
    <w:rsid w:val="7AA0216B"/>
    <w:rsid w:val="7AD81021"/>
    <w:rsid w:val="7AF532CA"/>
    <w:rsid w:val="7AFF15FB"/>
    <w:rsid w:val="7B0C00A5"/>
    <w:rsid w:val="7B3E7F77"/>
    <w:rsid w:val="7B3F45C3"/>
    <w:rsid w:val="7B4F7EDC"/>
    <w:rsid w:val="7B5771EA"/>
    <w:rsid w:val="7B595920"/>
    <w:rsid w:val="7B7F31F5"/>
    <w:rsid w:val="7BB272D6"/>
    <w:rsid w:val="7BC934AC"/>
    <w:rsid w:val="7BFC2E7A"/>
    <w:rsid w:val="7C0442AD"/>
    <w:rsid w:val="7C126F10"/>
    <w:rsid w:val="7C5062A8"/>
    <w:rsid w:val="7C7345D4"/>
    <w:rsid w:val="7C9E5AC3"/>
    <w:rsid w:val="7CBE55DF"/>
    <w:rsid w:val="7CC3658D"/>
    <w:rsid w:val="7CD0578E"/>
    <w:rsid w:val="7CD91A2C"/>
    <w:rsid w:val="7CD96C75"/>
    <w:rsid w:val="7CDC0EEC"/>
    <w:rsid w:val="7CDC13FD"/>
    <w:rsid w:val="7CDD7A63"/>
    <w:rsid w:val="7D4120FD"/>
    <w:rsid w:val="7D545D81"/>
    <w:rsid w:val="7D5947DF"/>
    <w:rsid w:val="7D636BA8"/>
    <w:rsid w:val="7D997407"/>
    <w:rsid w:val="7DC26844"/>
    <w:rsid w:val="7DCC43E0"/>
    <w:rsid w:val="7DD729DF"/>
    <w:rsid w:val="7DFA3EF9"/>
    <w:rsid w:val="7E2663FB"/>
    <w:rsid w:val="7E4727AB"/>
    <w:rsid w:val="7E7E0F36"/>
    <w:rsid w:val="7E8B43FE"/>
    <w:rsid w:val="7E9E2A7B"/>
    <w:rsid w:val="7EB1799C"/>
    <w:rsid w:val="7ED24865"/>
    <w:rsid w:val="7EF1219D"/>
    <w:rsid w:val="7F001A79"/>
    <w:rsid w:val="7F005753"/>
    <w:rsid w:val="7F181DE1"/>
    <w:rsid w:val="7F3927D7"/>
    <w:rsid w:val="7F3E7925"/>
    <w:rsid w:val="7F87355C"/>
    <w:rsid w:val="7FA62E28"/>
    <w:rsid w:val="7FC97036"/>
    <w:rsid w:val="7FCA6E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460" w:lineRule="exact"/>
      <w:ind w:firstLine="420" w:firstLineChars="200"/>
      <w:jc w:val="both"/>
    </w:pPr>
    <w:rPr>
      <w:rFonts w:ascii="Times New Roman" w:hAnsi="Times New Roman" w:eastAsia="宋体" w:cstheme="minorBidi"/>
      <w:kern w:val="2"/>
      <w:sz w:val="24"/>
      <w:szCs w:val="22"/>
      <w:vertAlign w:val="baseline"/>
      <w:lang w:val="en-US" w:eastAsia="zh-CN" w:bidi="ar-SA"/>
    </w:rPr>
  </w:style>
  <w:style w:type="paragraph" w:styleId="2">
    <w:name w:val="heading 1"/>
    <w:basedOn w:val="1"/>
    <w:next w:val="1"/>
    <w:autoRedefine/>
    <w:qFormat/>
    <w:uiPriority w:val="0"/>
    <w:pPr>
      <w:keepNext/>
      <w:keepLines/>
      <w:numPr>
        <w:ilvl w:val="0"/>
        <w:numId w:val="1"/>
      </w:numPr>
      <w:spacing w:beforeLines="0" w:beforeAutospacing="0" w:afterLines="0" w:afterAutospacing="0" w:line="520" w:lineRule="exact"/>
      <w:ind w:left="0" w:firstLine="0" w:firstLineChars="0"/>
      <w:outlineLvl w:val="0"/>
    </w:pPr>
    <w:rPr>
      <w:rFonts w:ascii="Times New Roman" w:hAnsi="Times New Roman" w:eastAsia="宋体"/>
      <w:b/>
      <w:kern w:val="44"/>
      <w:sz w:val="32"/>
    </w:rPr>
  </w:style>
  <w:style w:type="paragraph" w:styleId="3">
    <w:name w:val="heading 2"/>
    <w:basedOn w:val="1"/>
    <w:next w:val="1"/>
    <w:autoRedefine/>
    <w:unhideWhenUsed/>
    <w:qFormat/>
    <w:uiPriority w:val="0"/>
    <w:pPr>
      <w:keepNext/>
      <w:keepLines/>
      <w:numPr>
        <w:ilvl w:val="1"/>
        <w:numId w:val="1"/>
      </w:numPr>
      <w:spacing w:beforeLines="0" w:beforeAutospacing="0" w:afterLines="0" w:afterAutospacing="0" w:line="520" w:lineRule="exact"/>
      <w:ind w:left="575" w:hanging="575" w:firstLineChars="0"/>
      <w:jc w:val="left"/>
      <w:outlineLvl w:val="1"/>
    </w:pPr>
    <w:rPr>
      <w:rFonts w:ascii="Times New Roman" w:hAnsi="Times New Roman" w:eastAsia="宋体"/>
      <w:b/>
      <w:sz w:val="30"/>
    </w:rPr>
  </w:style>
  <w:style w:type="paragraph" w:styleId="4">
    <w:name w:val="heading 3"/>
    <w:basedOn w:val="1"/>
    <w:next w:val="1"/>
    <w:autoRedefine/>
    <w:qFormat/>
    <w:uiPriority w:val="0"/>
    <w:pPr>
      <w:numPr>
        <w:ilvl w:val="2"/>
        <w:numId w:val="1"/>
      </w:numPr>
      <w:spacing w:line="520" w:lineRule="exact"/>
      <w:ind w:left="720" w:hanging="720" w:firstLineChars="0"/>
      <w:outlineLvl w:val="2"/>
    </w:pPr>
    <w:rPr>
      <w:b/>
      <w:sz w:val="28"/>
      <w:szCs w:val="24"/>
    </w:rPr>
  </w:style>
  <w:style w:type="paragraph" w:styleId="5">
    <w:name w:val="heading 4"/>
    <w:basedOn w:val="1"/>
    <w:next w:val="1"/>
    <w:autoRedefine/>
    <w:qFormat/>
    <w:uiPriority w:val="0"/>
    <w:pPr>
      <w:keepNext/>
      <w:keepLines/>
      <w:numPr>
        <w:ilvl w:val="3"/>
        <w:numId w:val="1"/>
      </w:numPr>
      <w:adjustRightInd w:val="0"/>
      <w:spacing w:line="520" w:lineRule="exact"/>
      <w:ind w:left="864" w:hanging="864" w:firstLineChars="0"/>
      <w:outlineLvl w:val="3"/>
    </w:pPr>
    <w:rPr>
      <w:rFonts w:ascii="Times New Roman" w:hAnsi="Times New Roman" w:eastAsia="宋体" w:cs="Times New Roman"/>
      <w:szCs w:val="28"/>
    </w:rPr>
  </w:style>
  <w:style w:type="paragraph" w:styleId="6">
    <w:name w:val="heading 5"/>
    <w:basedOn w:val="1"/>
    <w:next w:val="1"/>
    <w:autoRedefine/>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8">
    <w:name w:val="Default Paragraph Font"/>
    <w:autoRedefine/>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11">
    <w:name w:val="toc 3"/>
    <w:basedOn w:val="1"/>
    <w:next w:val="1"/>
    <w:autoRedefine/>
    <w:qFormat/>
    <w:uiPriority w:val="0"/>
    <w:pPr>
      <w:spacing w:line="240" w:lineRule="auto"/>
      <w:ind w:left="840" w:leftChars="400" w:firstLine="0" w:firstLineChars="0"/>
    </w:pPr>
    <w:rPr>
      <w:rFonts w:ascii="Times New Roman" w:hAnsi="Times New Roman" w:eastAsia="宋体"/>
      <w:sz w:val="24"/>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autoRedefine/>
    <w:qFormat/>
    <w:uiPriority w:val="0"/>
    <w:pPr>
      <w:spacing w:line="240" w:lineRule="auto"/>
      <w:ind w:firstLine="0" w:firstLineChars="0"/>
    </w:pPr>
    <w:rPr>
      <w:rFonts w:ascii="Times New Roman" w:hAnsi="Times New Roman" w:eastAsia="宋体"/>
      <w:sz w:val="24"/>
    </w:rPr>
  </w:style>
  <w:style w:type="paragraph" w:styleId="15">
    <w:name w:val="toc 2"/>
    <w:basedOn w:val="1"/>
    <w:next w:val="1"/>
    <w:autoRedefine/>
    <w:qFormat/>
    <w:uiPriority w:val="0"/>
    <w:pPr>
      <w:spacing w:line="240" w:lineRule="auto"/>
      <w:ind w:left="420" w:leftChars="200" w:firstLine="0" w:firstLineChars="0"/>
    </w:pPr>
    <w:rPr>
      <w:rFonts w:ascii="Times New Roman" w:hAnsi="Times New Roman" w:eastAsia="宋体"/>
      <w:sz w:val="24"/>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表格居中"/>
    <w:basedOn w:val="1"/>
    <w:autoRedefine/>
    <w:qFormat/>
    <w:uiPriority w:val="0"/>
    <w:pPr>
      <w:spacing w:line="240" w:lineRule="auto"/>
      <w:ind w:firstLine="0" w:firstLineChars="0"/>
      <w:jc w:val="center"/>
    </w:pPr>
    <w:rPr>
      <w:rFonts w:hint="eastAsia"/>
      <w:bCs/>
      <w:sz w:val="21"/>
      <w:szCs w:val="21"/>
      <w:shd w:val="clear" w:color="auto" w:fill="FFFFFF"/>
    </w:rPr>
  </w:style>
  <w:style w:type="paragraph" w:customStyle="1" w:styleId="20">
    <w:name w:val="赵 验收表头"/>
    <w:basedOn w:val="1"/>
    <w:next w:val="1"/>
    <w:autoRedefine/>
    <w:qFormat/>
    <w:uiPriority w:val="0"/>
    <w:pPr>
      <w:numPr>
        <w:ilvl w:val="0"/>
        <w:numId w:val="2"/>
      </w:numPr>
      <w:spacing w:line="460" w:lineRule="exact"/>
      <w:ind w:left="0" w:firstLine="562" w:firstLineChars="200"/>
      <w:jc w:val="left"/>
    </w:pPr>
    <w:rPr>
      <w:rFonts w:hint="eastAsia" w:ascii="Times New Roman" w:hAnsi="Times New Roman" w:eastAsia="黑体" w:cs="黑体"/>
      <w:b/>
      <w:szCs w:val="28"/>
    </w:rPr>
  </w:style>
  <w:style w:type="paragraph" w:customStyle="1" w:styleId="21">
    <w:name w:val="图片格式"/>
    <w:basedOn w:val="1"/>
    <w:link w:val="23"/>
    <w:autoRedefine/>
    <w:qFormat/>
    <w:uiPriority w:val="0"/>
    <w:pPr>
      <w:spacing w:line="240" w:lineRule="auto"/>
      <w:ind w:firstLine="0" w:firstLineChars="0"/>
      <w:jc w:val="center"/>
    </w:pPr>
    <w:rPr>
      <w:rFonts w:ascii="Times New Roman" w:hAnsi="Times New Roman" w:eastAsia="黑体"/>
    </w:rPr>
  </w:style>
  <w:style w:type="table" w:customStyle="1" w:styleId="22">
    <w:name w:val="Table Normal"/>
    <w:semiHidden/>
    <w:unhideWhenUsed/>
    <w:qFormat/>
    <w:uiPriority w:val="0"/>
    <w:tblPr>
      <w:tblCellMar>
        <w:top w:w="0" w:type="dxa"/>
        <w:left w:w="0" w:type="dxa"/>
        <w:bottom w:w="0" w:type="dxa"/>
        <w:right w:w="0" w:type="dxa"/>
      </w:tblCellMar>
    </w:tblPr>
  </w:style>
  <w:style w:type="character" w:customStyle="1" w:styleId="23">
    <w:name w:val="图示格式 Char"/>
    <w:link w:val="21"/>
    <w:autoRedefine/>
    <w:qFormat/>
    <w:uiPriority w:val="0"/>
    <w:rPr>
      <w:rFonts w:ascii="Times New Roman" w:hAnsi="Times New Roman" w:eastAsia="黑体"/>
    </w:rPr>
  </w:style>
  <w:style w:type="paragraph" w:customStyle="1" w:styleId="24">
    <w:name w:val="验收图头"/>
    <w:basedOn w:val="1"/>
    <w:next w:val="1"/>
    <w:link w:val="25"/>
    <w:autoRedefine/>
    <w:qFormat/>
    <w:uiPriority w:val="0"/>
    <w:pPr>
      <w:numPr>
        <w:ilvl w:val="0"/>
        <w:numId w:val="3"/>
      </w:numPr>
      <w:adjustRightInd w:val="0"/>
      <w:spacing w:line="240" w:lineRule="auto"/>
      <w:ind w:firstLine="0" w:firstLineChars="0"/>
      <w:jc w:val="center"/>
      <w:outlineLvl w:val="9"/>
    </w:pPr>
    <w:rPr>
      <w:rFonts w:ascii="Times New Roman" w:hAnsi="Times New Roman" w:eastAsia="黑体"/>
      <w:szCs w:val="24"/>
    </w:rPr>
  </w:style>
  <w:style w:type="character" w:customStyle="1" w:styleId="25">
    <w:name w:val="验收图头 Char"/>
    <w:link w:val="24"/>
    <w:autoRedefine/>
    <w:qFormat/>
    <w:uiPriority w:val="0"/>
    <w:rPr>
      <w:rFonts w:ascii="Times New Roman" w:hAnsi="Times New Roman" w:eastAsia="黑体"/>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12924</Words>
  <Characters>15157</Characters>
  <Lines>0</Lines>
  <Paragraphs>0</Paragraphs>
  <TotalTime>1</TotalTime>
  <ScaleCrop>false</ScaleCrop>
  <LinksUpToDate>false</LinksUpToDate>
  <CharactersWithSpaces>16145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2021-01-29T02:43:00Z</dcterms:created>
  <dc:creator>赵凤新</dc:creator>
  <cp:lastModifiedBy>赵凤新</cp:lastModifiedBy>
  <cp:lastPrinted>2022-02-24T00:41:00Z</cp:lastPrinted>
  <dcterms:modified xsi:type="dcterms:W3CDTF">2024-03-07T02:22:41Z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8BAE2BA2B8AC4A0C8456F82FFDEFB823</vt:lpwstr>
  </property>
</Properties>
</file>